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85" w:rsidRPr="004A3AAD" w:rsidRDefault="009B0685" w:rsidP="008F1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/>
          <w:b/>
          <w:bCs/>
          <w:sz w:val="18"/>
          <w:szCs w:val="20"/>
        </w:rPr>
      </w:pPr>
      <w:r w:rsidRPr="004A3AAD">
        <w:rPr>
          <w:rFonts w:ascii="Arial" w:hAnsi="Arial"/>
          <w:b/>
          <w:bCs/>
          <w:sz w:val="18"/>
          <w:szCs w:val="20"/>
        </w:rPr>
        <w:t>République Tunisienne</w:t>
      </w:r>
    </w:p>
    <w:p w:rsidR="009B0685" w:rsidRPr="004A3AAD" w:rsidRDefault="009B0685" w:rsidP="008F1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/>
          <w:b/>
          <w:bCs/>
          <w:sz w:val="20"/>
        </w:rPr>
      </w:pPr>
      <w:r w:rsidRPr="004A3AAD">
        <w:rPr>
          <w:rFonts w:ascii="Arial" w:hAnsi="Arial"/>
          <w:b/>
          <w:bCs/>
          <w:sz w:val="20"/>
        </w:rPr>
        <w:t>Ministère de l'Enseignement Supérieur, de la Recherche Scientifique</w:t>
      </w:r>
      <w:r w:rsidR="00821745">
        <w:rPr>
          <w:rFonts w:ascii="Arial" w:hAnsi="Arial"/>
          <w:b/>
          <w:bCs/>
          <w:sz w:val="20"/>
        </w:rPr>
        <w:t xml:space="preserve"> et</w:t>
      </w:r>
    </w:p>
    <w:p w:rsidR="009B0685" w:rsidRDefault="00821745" w:rsidP="008F1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  <w:sz w:val="20"/>
        </w:rPr>
        <w:t>des</w:t>
      </w:r>
      <w:proofErr w:type="gramEnd"/>
      <w:r>
        <w:rPr>
          <w:rFonts w:ascii="Arial" w:hAnsi="Arial"/>
          <w:b/>
          <w:bCs/>
          <w:sz w:val="20"/>
        </w:rPr>
        <w:t xml:space="preserve"> Technologies </w:t>
      </w:r>
      <w:r w:rsidR="009B0685" w:rsidRPr="004A3AAD">
        <w:rPr>
          <w:rFonts w:ascii="Arial" w:hAnsi="Arial"/>
          <w:b/>
          <w:bCs/>
          <w:sz w:val="20"/>
        </w:rPr>
        <w:t>de l’Information et de la Communication</w:t>
      </w:r>
    </w:p>
    <w:p w:rsidR="009B0685" w:rsidRPr="004A3AAD" w:rsidRDefault="009B0685" w:rsidP="008F1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4A3AAD">
        <w:rPr>
          <w:rFonts w:ascii="Arial" w:hAnsi="Arial"/>
          <w:b/>
          <w:bCs/>
          <w:sz w:val="24"/>
          <w:szCs w:val="24"/>
        </w:rPr>
        <w:t>UNIVERSITÉ DE MONASTIR</w:t>
      </w:r>
    </w:p>
    <w:p w:rsidR="00F44E6B" w:rsidRPr="004A3AAD" w:rsidRDefault="009B0685" w:rsidP="00F44E6B">
      <w:pPr>
        <w:spacing w:before="120" w:after="120" w:line="240" w:lineRule="auto"/>
        <w:jc w:val="center"/>
        <w:rPr>
          <w:rFonts w:ascii="Arial" w:hAnsi="Arial"/>
          <w:b/>
          <w:bCs/>
          <w:i/>
          <w:iCs/>
          <w:sz w:val="24"/>
          <w:szCs w:val="24"/>
        </w:rPr>
      </w:pPr>
      <w:r w:rsidRPr="004A3AAD">
        <w:rPr>
          <w:rFonts w:ascii="Arial" w:hAnsi="Arial"/>
          <w:b/>
          <w:bCs/>
          <w:i/>
          <w:iCs/>
          <w:sz w:val="24"/>
          <w:szCs w:val="24"/>
        </w:rPr>
        <w:t>FACULTE DE PHARMACIE DE MONASTIR</w:t>
      </w:r>
      <w:r w:rsidR="00F44E6B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 w:rsidR="009B0685" w:rsidRDefault="000547B3" w:rsidP="004A3AAD">
      <w:pPr>
        <w:spacing w:before="120" w:after="120" w:line="360" w:lineRule="auto"/>
        <w:jc w:val="center"/>
        <w:rPr>
          <w:rFonts w:ascii="Arial" w:hAnsi="Arial"/>
          <w:b/>
          <w:bCs/>
          <w:i/>
          <w:iCs/>
          <w:sz w:val="28"/>
          <w:szCs w:val="28"/>
        </w:rPr>
      </w:pPr>
      <w:r>
        <w:rPr>
          <w:noProof/>
          <w:szCs w:val="28"/>
          <w:lang w:eastAsia="fr-FR"/>
        </w:rPr>
        <w:drawing>
          <wp:inline distT="0" distB="0" distL="0" distR="0">
            <wp:extent cx="946150" cy="874395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85" w:rsidRPr="004A3AAD" w:rsidRDefault="009B0685" w:rsidP="004A3A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/>
          <w:b/>
          <w:bCs/>
          <w:sz w:val="28"/>
          <w:szCs w:val="32"/>
        </w:rPr>
      </w:pPr>
      <w:r w:rsidRPr="004A3AAD">
        <w:rPr>
          <w:rFonts w:ascii="Arial" w:hAnsi="Arial"/>
          <w:b/>
          <w:bCs/>
          <w:sz w:val="28"/>
          <w:szCs w:val="32"/>
        </w:rPr>
        <w:t>Appel à Candidature pour le Mastère Professionnel</w:t>
      </w:r>
    </w:p>
    <w:p w:rsidR="009B0685" w:rsidRPr="004A3AAD" w:rsidRDefault="009B0685" w:rsidP="004A3A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/>
          <w:b/>
          <w:bCs/>
          <w:sz w:val="28"/>
          <w:szCs w:val="32"/>
        </w:rPr>
      </w:pPr>
      <w:r w:rsidRPr="004A3AAD">
        <w:rPr>
          <w:rFonts w:ascii="Arial" w:hAnsi="Arial"/>
          <w:b/>
          <w:bCs/>
          <w:sz w:val="28"/>
          <w:szCs w:val="32"/>
        </w:rPr>
        <w:t>Hémobiologie</w:t>
      </w:r>
      <w:r w:rsidR="001E454A">
        <w:rPr>
          <w:rFonts w:ascii="Arial" w:hAnsi="Arial"/>
          <w:b/>
          <w:bCs/>
          <w:sz w:val="28"/>
          <w:szCs w:val="32"/>
        </w:rPr>
        <w:t>,</w:t>
      </w:r>
      <w:r w:rsidRPr="004A3AAD">
        <w:rPr>
          <w:rFonts w:ascii="Arial" w:hAnsi="Arial"/>
          <w:b/>
          <w:bCs/>
          <w:sz w:val="28"/>
          <w:szCs w:val="32"/>
        </w:rPr>
        <w:t xml:space="preserve"> Transfusion</w:t>
      </w:r>
      <w:r w:rsidR="001E454A">
        <w:rPr>
          <w:rFonts w:ascii="Arial" w:hAnsi="Arial"/>
          <w:b/>
          <w:bCs/>
          <w:sz w:val="28"/>
          <w:szCs w:val="32"/>
        </w:rPr>
        <w:t xml:space="preserve"> et </w:t>
      </w:r>
      <w:r w:rsidR="00F44E6B">
        <w:rPr>
          <w:rFonts w:ascii="Arial" w:hAnsi="Arial"/>
          <w:b/>
          <w:bCs/>
          <w:sz w:val="28"/>
          <w:szCs w:val="32"/>
        </w:rPr>
        <w:t>Thérapie Cellulaire</w:t>
      </w:r>
    </w:p>
    <w:p w:rsidR="009B0685" w:rsidRPr="004A3AAD" w:rsidRDefault="0047624F" w:rsidP="004A3AAD">
      <w:pPr>
        <w:spacing w:before="120" w:after="120" w:line="360" w:lineRule="auto"/>
        <w:jc w:val="center"/>
        <w:rPr>
          <w:rFonts w:ascii="Arial" w:hAnsi="Arial"/>
          <w:bCs/>
          <w:iCs/>
        </w:rPr>
      </w:pPr>
      <w:r>
        <w:rPr>
          <w:rFonts w:ascii="Arial" w:hAnsi="Arial"/>
          <w:b/>
          <w:bCs/>
        </w:rPr>
        <w:t>Année universitaire 2022</w:t>
      </w:r>
      <w:r w:rsidR="007152CE">
        <w:rPr>
          <w:rFonts w:ascii="Arial" w:hAnsi="Arial"/>
          <w:b/>
          <w:bCs/>
        </w:rPr>
        <w:t xml:space="preserve"> </w:t>
      </w:r>
      <w:r w:rsidR="009B0685" w:rsidRPr="004A3AAD">
        <w:rPr>
          <w:rFonts w:ascii="Arial" w:hAnsi="Arial"/>
          <w:b/>
          <w:bCs/>
        </w:rPr>
        <w:t>-</w:t>
      </w:r>
      <w:r w:rsidR="007152CE">
        <w:rPr>
          <w:rFonts w:ascii="Arial" w:hAnsi="Arial"/>
          <w:b/>
          <w:bCs/>
        </w:rPr>
        <w:t xml:space="preserve"> </w:t>
      </w:r>
      <w:r w:rsidR="00017678">
        <w:rPr>
          <w:rFonts w:ascii="Arial" w:hAnsi="Arial"/>
          <w:b/>
          <w:bCs/>
        </w:rPr>
        <w:t>202</w:t>
      </w:r>
      <w:r>
        <w:rPr>
          <w:rFonts w:ascii="Arial" w:hAnsi="Arial"/>
          <w:b/>
          <w:bCs/>
        </w:rPr>
        <w:t>3</w:t>
      </w:r>
    </w:p>
    <w:p w:rsidR="008F1EFD" w:rsidRDefault="008F1EFD" w:rsidP="008F1EFD">
      <w:pPr>
        <w:spacing w:before="120" w:after="120"/>
        <w:jc w:val="both"/>
        <w:rPr>
          <w:bCs/>
          <w:iCs/>
          <w:sz w:val="24"/>
          <w:szCs w:val="24"/>
        </w:rPr>
      </w:pPr>
    </w:p>
    <w:p w:rsidR="009B0685" w:rsidRPr="004A3AAD" w:rsidRDefault="00D910BC" w:rsidP="008F1EFD">
      <w:pPr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La Faculté de P</w:t>
      </w:r>
      <w:r w:rsidR="009B0685" w:rsidRPr="004A3AAD">
        <w:rPr>
          <w:bCs/>
          <w:iCs/>
          <w:sz w:val="24"/>
          <w:szCs w:val="24"/>
        </w:rPr>
        <w:t xml:space="preserve">harmacie de Monastir annonce l’ouverture </w:t>
      </w:r>
      <w:r>
        <w:rPr>
          <w:bCs/>
          <w:iCs/>
          <w:sz w:val="24"/>
          <w:szCs w:val="24"/>
        </w:rPr>
        <w:t>du</w:t>
      </w:r>
      <w:r w:rsidR="00FE2AE3" w:rsidRPr="004A3AAD">
        <w:rPr>
          <w:bCs/>
          <w:iCs/>
          <w:sz w:val="24"/>
          <w:szCs w:val="24"/>
        </w:rPr>
        <w:t xml:space="preserve"> dépôt de</w:t>
      </w:r>
      <w:r w:rsidR="009B0685" w:rsidRPr="004A3AAD">
        <w:rPr>
          <w:bCs/>
          <w:iCs/>
          <w:sz w:val="24"/>
          <w:szCs w:val="24"/>
        </w:rPr>
        <w:t xml:space="preserve"> candidature </w:t>
      </w:r>
      <w:r w:rsidR="00FE2AE3" w:rsidRPr="004A3AAD">
        <w:rPr>
          <w:bCs/>
          <w:iCs/>
          <w:sz w:val="24"/>
          <w:szCs w:val="24"/>
        </w:rPr>
        <w:t>à</w:t>
      </w:r>
      <w:r w:rsidR="009B0685" w:rsidRPr="004A3AAD">
        <w:rPr>
          <w:bCs/>
          <w:iCs/>
          <w:sz w:val="24"/>
          <w:szCs w:val="24"/>
        </w:rPr>
        <w:t xml:space="preserve"> son Mastère Professionnel Hémobiologie</w:t>
      </w:r>
      <w:r>
        <w:rPr>
          <w:bCs/>
          <w:iCs/>
          <w:sz w:val="24"/>
          <w:szCs w:val="24"/>
        </w:rPr>
        <w:t>,</w:t>
      </w:r>
      <w:r w:rsidR="009B0685" w:rsidRPr="004A3AAD">
        <w:rPr>
          <w:bCs/>
          <w:iCs/>
          <w:sz w:val="24"/>
          <w:szCs w:val="24"/>
        </w:rPr>
        <w:t xml:space="preserve"> Transfusion </w:t>
      </w:r>
      <w:r>
        <w:rPr>
          <w:bCs/>
          <w:iCs/>
          <w:sz w:val="24"/>
          <w:szCs w:val="24"/>
        </w:rPr>
        <w:t xml:space="preserve">et Thérapie Cellulaire </w:t>
      </w:r>
      <w:r w:rsidR="009B0685" w:rsidRPr="004A3AAD">
        <w:rPr>
          <w:bCs/>
          <w:iCs/>
          <w:sz w:val="24"/>
          <w:szCs w:val="24"/>
        </w:rPr>
        <w:t xml:space="preserve">pour l’année universitaire </w:t>
      </w:r>
      <w:r w:rsidR="0047624F">
        <w:rPr>
          <w:bCs/>
          <w:iCs/>
          <w:sz w:val="24"/>
          <w:szCs w:val="24"/>
        </w:rPr>
        <w:t>2022-2023</w:t>
      </w:r>
      <w:r w:rsidR="009B0685" w:rsidRPr="004A3AAD">
        <w:rPr>
          <w:bCs/>
          <w:iCs/>
          <w:sz w:val="24"/>
          <w:szCs w:val="24"/>
        </w:rPr>
        <w:t>.</w:t>
      </w:r>
    </w:p>
    <w:p w:rsidR="009B0685" w:rsidRPr="004A3AAD" w:rsidRDefault="00FE2AE3" w:rsidP="004A3AAD">
      <w:pPr>
        <w:spacing w:before="120" w:after="120" w:line="360" w:lineRule="auto"/>
        <w:jc w:val="both"/>
        <w:rPr>
          <w:b/>
          <w:bCs/>
          <w:iCs/>
          <w:sz w:val="24"/>
          <w:szCs w:val="24"/>
          <w:u w:val="single"/>
        </w:rPr>
      </w:pPr>
      <w:r w:rsidRPr="004A3AAD">
        <w:rPr>
          <w:b/>
          <w:bCs/>
          <w:iCs/>
          <w:sz w:val="24"/>
          <w:szCs w:val="24"/>
          <w:u w:val="single"/>
        </w:rPr>
        <w:t>Objectifs de la Formation</w:t>
      </w:r>
    </w:p>
    <w:p w:rsidR="00FE2AE3" w:rsidRDefault="00FE2AE3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Co</w:t>
      </w:r>
      <w:r w:rsidR="00F44E6B">
        <w:rPr>
          <w:bCs/>
          <w:iCs/>
          <w:sz w:val="24"/>
          <w:szCs w:val="24"/>
        </w:rPr>
        <w:t>nnaître la biologie des cellules sanguines</w:t>
      </w:r>
      <w:r w:rsidR="00215854">
        <w:rPr>
          <w:bCs/>
          <w:iCs/>
          <w:sz w:val="24"/>
          <w:szCs w:val="24"/>
        </w:rPr>
        <w:t>,</w:t>
      </w:r>
    </w:p>
    <w:p w:rsidR="00F44E6B" w:rsidRDefault="00D402F7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Maîtriser</w:t>
      </w:r>
      <w:r w:rsidR="00F44E6B">
        <w:rPr>
          <w:bCs/>
          <w:iCs/>
          <w:sz w:val="24"/>
          <w:szCs w:val="24"/>
        </w:rPr>
        <w:t xml:space="preserve"> la physiologie et l'exploration de l'hémostase</w:t>
      </w:r>
      <w:r w:rsidR="00215854">
        <w:rPr>
          <w:bCs/>
          <w:iCs/>
          <w:sz w:val="24"/>
          <w:szCs w:val="24"/>
        </w:rPr>
        <w:t>,</w:t>
      </w:r>
    </w:p>
    <w:p w:rsidR="00F44E6B" w:rsidRDefault="00D402F7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Maîtriser</w:t>
      </w:r>
      <w:r>
        <w:rPr>
          <w:bCs/>
          <w:iCs/>
          <w:sz w:val="24"/>
          <w:szCs w:val="24"/>
        </w:rPr>
        <w:t xml:space="preserve"> </w:t>
      </w:r>
      <w:r w:rsidR="00F44E6B">
        <w:rPr>
          <w:bCs/>
          <w:iCs/>
          <w:sz w:val="24"/>
          <w:szCs w:val="24"/>
        </w:rPr>
        <w:t>le fonctionnement du système immunitaire</w:t>
      </w:r>
      <w:r w:rsidR="00215854">
        <w:rPr>
          <w:bCs/>
          <w:iCs/>
          <w:sz w:val="24"/>
          <w:szCs w:val="24"/>
        </w:rPr>
        <w:t>,</w:t>
      </w:r>
    </w:p>
    <w:p w:rsidR="00F44E6B" w:rsidRDefault="00F44E6B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BB4B18" w:rsidRPr="004A3AAD">
        <w:rPr>
          <w:bCs/>
          <w:iCs/>
          <w:sz w:val="24"/>
          <w:szCs w:val="24"/>
        </w:rPr>
        <w:t>Connaître</w:t>
      </w:r>
      <w:r w:rsidR="00BB4B1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l'immunogénétique approfondie des systèmes de groupe sanguins</w:t>
      </w:r>
      <w:r w:rsidR="00215854">
        <w:rPr>
          <w:bCs/>
          <w:iCs/>
          <w:sz w:val="24"/>
          <w:szCs w:val="24"/>
        </w:rPr>
        <w:t>,</w:t>
      </w:r>
    </w:p>
    <w:p w:rsidR="00F44E6B" w:rsidRDefault="00F44E6B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BB4B18" w:rsidRPr="004A3AAD">
        <w:rPr>
          <w:bCs/>
          <w:iCs/>
          <w:sz w:val="24"/>
          <w:szCs w:val="24"/>
        </w:rPr>
        <w:t>Connaître</w:t>
      </w:r>
      <w:r w:rsidR="00BB4B1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les bases génétiques et moléculaires du système HLA  et ses implications dans la greffe, les maladies et en transfusion</w:t>
      </w:r>
      <w:r w:rsidR="00215854">
        <w:rPr>
          <w:bCs/>
          <w:iCs/>
          <w:sz w:val="24"/>
          <w:szCs w:val="24"/>
        </w:rPr>
        <w:t>,</w:t>
      </w:r>
    </w:p>
    <w:p w:rsidR="00F44E6B" w:rsidRDefault="00BB4B18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Connaître</w:t>
      </w:r>
      <w:r w:rsidR="00F44E6B">
        <w:rPr>
          <w:bCs/>
          <w:iCs/>
          <w:sz w:val="24"/>
          <w:szCs w:val="24"/>
        </w:rPr>
        <w:t xml:space="preserve"> les systèmes de groupes plaquettaires et</w:t>
      </w:r>
      <w:r w:rsidR="00F109A8">
        <w:rPr>
          <w:bCs/>
          <w:iCs/>
          <w:sz w:val="24"/>
          <w:szCs w:val="24"/>
        </w:rPr>
        <w:t xml:space="preserve"> leurs implications en clinique</w:t>
      </w:r>
      <w:r w:rsidR="00215854">
        <w:rPr>
          <w:bCs/>
          <w:iCs/>
          <w:sz w:val="24"/>
          <w:szCs w:val="24"/>
        </w:rPr>
        <w:t>,</w:t>
      </w:r>
    </w:p>
    <w:p w:rsidR="00F44E6B" w:rsidRPr="004A3AAD" w:rsidRDefault="00F44E6B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BB4B18" w:rsidRPr="004A3AAD">
        <w:rPr>
          <w:bCs/>
          <w:iCs/>
          <w:sz w:val="24"/>
          <w:szCs w:val="24"/>
        </w:rPr>
        <w:t>Connaître</w:t>
      </w:r>
      <w:r w:rsidR="00BB4B1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les anticorps monoclonaux</w:t>
      </w:r>
      <w:r w:rsidR="00215854">
        <w:rPr>
          <w:bCs/>
          <w:iCs/>
          <w:sz w:val="24"/>
          <w:szCs w:val="24"/>
        </w:rPr>
        <w:t>,</w:t>
      </w:r>
    </w:p>
    <w:p w:rsidR="00FE2AE3" w:rsidRPr="004A3AAD" w:rsidRDefault="00B5493B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Maîtriser</w:t>
      </w:r>
      <w:r w:rsidR="00FE2AE3" w:rsidRPr="004A3AAD">
        <w:rPr>
          <w:bCs/>
          <w:iCs/>
          <w:sz w:val="24"/>
          <w:szCs w:val="24"/>
        </w:rPr>
        <w:t xml:space="preserve"> les méthodes </w:t>
      </w:r>
      <w:proofErr w:type="spellStart"/>
      <w:r w:rsidR="00FE2AE3" w:rsidRPr="004A3AAD">
        <w:rPr>
          <w:bCs/>
          <w:iCs/>
          <w:sz w:val="24"/>
          <w:szCs w:val="24"/>
        </w:rPr>
        <w:t>immuno</w:t>
      </w:r>
      <w:proofErr w:type="spellEnd"/>
      <w:r w:rsidR="00FE2AE3" w:rsidRPr="004A3AAD">
        <w:rPr>
          <w:bCs/>
          <w:iCs/>
          <w:sz w:val="24"/>
          <w:szCs w:val="24"/>
        </w:rPr>
        <w:t xml:space="preserve">-hématologiques permettant l’étude des antigènes et </w:t>
      </w:r>
      <w:r w:rsidR="006C7BB4" w:rsidRPr="004A3AAD">
        <w:rPr>
          <w:bCs/>
          <w:iCs/>
          <w:sz w:val="24"/>
          <w:szCs w:val="24"/>
        </w:rPr>
        <w:t xml:space="preserve">des </w:t>
      </w:r>
      <w:r w:rsidR="00FE2AE3" w:rsidRPr="004A3AAD">
        <w:rPr>
          <w:bCs/>
          <w:iCs/>
          <w:sz w:val="24"/>
          <w:szCs w:val="24"/>
        </w:rPr>
        <w:t xml:space="preserve">anticorps </w:t>
      </w:r>
      <w:r w:rsidRPr="004A3AAD">
        <w:rPr>
          <w:bCs/>
          <w:iCs/>
          <w:sz w:val="24"/>
          <w:szCs w:val="24"/>
        </w:rPr>
        <w:t>des groupes sanguins et leurs appli</w:t>
      </w:r>
      <w:r w:rsidR="00F109A8">
        <w:rPr>
          <w:bCs/>
          <w:iCs/>
          <w:sz w:val="24"/>
          <w:szCs w:val="24"/>
        </w:rPr>
        <w:t>cations en transfusion sanguine</w:t>
      </w:r>
      <w:r w:rsidR="00215854">
        <w:rPr>
          <w:bCs/>
          <w:iCs/>
          <w:sz w:val="24"/>
          <w:szCs w:val="24"/>
        </w:rPr>
        <w:t>,</w:t>
      </w:r>
    </w:p>
    <w:p w:rsidR="00B5493B" w:rsidRDefault="00B5493B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 xml:space="preserve">Connaître </w:t>
      </w:r>
      <w:r w:rsidR="0006619D" w:rsidRPr="004A3AAD">
        <w:rPr>
          <w:bCs/>
          <w:iCs/>
          <w:sz w:val="24"/>
          <w:szCs w:val="24"/>
        </w:rPr>
        <w:t>les aspects ré</w:t>
      </w:r>
      <w:r w:rsidR="005D3725" w:rsidRPr="004A3AAD">
        <w:rPr>
          <w:bCs/>
          <w:iCs/>
          <w:sz w:val="24"/>
          <w:szCs w:val="24"/>
        </w:rPr>
        <w:t>gleme</w:t>
      </w:r>
      <w:r w:rsidR="00F109A8">
        <w:rPr>
          <w:bCs/>
          <w:iCs/>
          <w:sz w:val="24"/>
          <w:szCs w:val="24"/>
        </w:rPr>
        <w:t>ntaires</w:t>
      </w:r>
      <w:r w:rsidR="0006619D" w:rsidRPr="004A3AAD">
        <w:rPr>
          <w:bCs/>
          <w:iCs/>
          <w:sz w:val="24"/>
          <w:szCs w:val="24"/>
        </w:rPr>
        <w:t xml:space="preserve"> et organisationnels de la transfusion sanguine</w:t>
      </w:r>
      <w:r w:rsidR="00D270E9">
        <w:rPr>
          <w:bCs/>
          <w:iCs/>
          <w:sz w:val="24"/>
          <w:szCs w:val="24"/>
        </w:rPr>
        <w:t xml:space="preserve"> en Tunisie</w:t>
      </w:r>
      <w:r w:rsidR="00215854">
        <w:rPr>
          <w:bCs/>
          <w:iCs/>
          <w:sz w:val="24"/>
          <w:szCs w:val="24"/>
        </w:rPr>
        <w:t>,</w:t>
      </w:r>
    </w:p>
    <w:p w:rsidR="00F44E6B" w:rsidRDefault="00F44E6B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BB4B18" w:rsidRPr="004A3AAD">
        <w:rPr>
          <w:bCs/>
          <w:iCs/>
          <w:sz w:val="24"/>
          <w:szCs w:val="24"/>
        </w:rPr>
        <w:t>Connaître</w:t>
      </w:r>
      <w:r w:rsidR="00BB4B1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l'éthique et la sociologie du don de sang</w:t>
      </w:r>
      <w:r w:rsidR="00215854">
        <w:rPr>
          <w:bCs/>
          <w:iCs/>
          <w:sz w:val="24"/>
          <w:szCs w:val="24"/>
        </w:rPr>
        <w:t>,</w:t>
      </w:r>
    </w:p>
    <w:p w:rsidR="00F44E6B" w:rsidRDefault="00D402F7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Maîtriser</w:t>
      </w:r>
      <w:r>
        <w:rPr>
          <w:bCs/>
          <w:iCs/>
          <w:sz w:val="24"/>
          <w:szCs w:val="24"/>
        </w:rPr>
        <w:t xml:space="preserve"> </w:t>
      </w:r>
      <w:r w:rsidR="00F44E6B">
        <w:rPr>
          <w:bCs/>
          <w:iCs/>
          <w:sz w:val="24"/>
          <w:szCs w:val="24"/>
        </w:rPr>
        <w:t>la</w:t>
      </w:r>
      <w:r w:rsidR="00215854">
        <w:rPr>
          <w:bCs/>
          <w:iCs/>
          <w:sz w:val="24"/>
          <w:szCs w:val="24"/>
        </w:rPr>
        <w:t xml:space="preserve"> préparation, la</w:t>
      </w:r>
      <w:r w:rsidR="00F109A8">
        <w:rPr>
          <w:bCs/>
          <w:iCs/>
          <w:sz w:val="24"/>
          <w:szCs w:val="24"/>
        </w:rPr>
        <w:t xml:space="preserve"> transformation</w:t>
      </w:r>
      <w:r w:rsidR="00F44E6B">
        <w:rPr>
          <w:bCs/>
          <w:iCs/>
          <w:sz w:val="24"/>
          <w:szCs w:val="24"/>
        </w:rPr>
        <w:t xml:space="preserve"> et la délivrance des produits sanguins labiles</w:t>
      </w:r>
      <w:r w:rsidR="00215854">
        <w:rPr>
          <w:bCs/>
          <w:iCs/>
          <w:sz w:val="24"/>
          <w:szCs w:val="24"/>
        </w:rPr>
        <w:t>,</w:t>
      </w:r>
    </w:p>
    <w:p w:rsidR="00F44E6B" w:rsidRDefault="00D402F7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Connaître</w:t>
      </w:r>
      <w:r>
        <w:rPr>
          <w:bCs/>
          <w:iCs/>
          <w:sz w:val="24"/>
          <w:szCs w:val="24"/>
        </w:rPr>
        <w:t xml:space="preserve"> </w:t>
      </w:r>
      <w:r w:rsidR="00F44E6B">
        <w:rPr>
          <w:bCs/>
          <w:iCs/>
          <w:sz w:val="24"/>
          <w:szCs w:val="24"/>
        </w:rPr>
        <w:t>les dérivés sanguins stables</w:t>
      </w:r>
      <w:r w:rsidR="00215854">
        <w:rPr>
          <w:bCs/>
          <w:iCs/>
          <w:sz w:val="24"/>
          <w:szCs w:val="24"/>
        </w:rPr>
        <w:t>,</w:t>
      </w:r>
    </w:p>
    <w:p w:rsidR="00F44E6B" w:rsidRDefault="00D37D43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Connaître</w:t>
      </w:r>
      <w:r w:rsidR="00F44E6B">
        <w:rPr>
          <w:bCs/>
          <w:iCs/>
          <w:sz w:val="24"/>
          <w:szCs w:val="24"/>
        </w:rPr>
        <w:t xml:space="preserve"> la pratique transfusionnelle dans les différentes situations cliniques</w:t>
      </w:r>
      <w:r w:rsidR="00215854">
        <w:rPr>
          <w:bCs/>
          <w:iCs/>
          <w:sz w:val="24"/>
          <w:szCs w:val="24"/>
        </w:rPr>
        <w:t>,</w:t>
      </w:r>
    </w:p>
    <w:p w:rsidR="00F44E6B" w:rsidRDefault="00D402F7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Maîtriser</w:t>
      </w:r>
      <w:r>
        <w:rPr>
          <w:bCs/>
          <w:iCs/>
          <w:sz w:val="24"/>
          <w:szCs w:val="24"/>
        </w:rPr>
        <w:t xml:space="preserve"> l</w:t>
      </w:r>
      <w:r w:rsidR="00F44E6B">
        <w:rPr>
          <w:bCs/>
          <w:iCs/>
          <w:sz w:val="24"/>
          <w:szCs w:val="24"/>
        </w:rPr>
        <w:t>es accidents de la transfusion</w:t>
      </w:r>
      <w:r w:rsidR="00215854">
        <w:rPr>
          <w:bCs/>
          <w:iCs/>
          <w:sz w:val="24"/>
          <w:szCs w:val="24"/>
        </w:rPr>
        <w:t>,</w:t>
      </w:r>
    </w:p>
    <w:p w:rsidR="00F44E6B" w:rsidRDefault="00D37D43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Connaître</w:t>
      </w:r>
      <w:r>
        <w:rPr>
          <w:bCs/>
          <w:iCs/>
          <w:sz w:val="24"/>
          <w:szCs w:val="24"/>
        </w:rPr>
        <w:t xml:space="preserve"> </w:t>
      </w:r>
      <w:r w:rsidR="00F44E6B">
        <w:rPr>
          <w:bCs/>
          <w:iCs/>
          <w:sz w:val="24"/>
          <w:szCs w:val="24"/>
        </w:rPr>
        <w:t>l'hémovigilance</w:t>
      </w:r>
      <w:r w:rsidR="00215854">
        <w:rPr>
          <w:bCs/>
          <w:iCs/>
          <w:sz w:val="24"/>
          <w:szCs w:val="24"/>
        </w:rPr>
        <w:t>,</w:t>
      </w:r>
    </w:p>
    <w:p w:rsidR="00F44E6B" w:rsidRPr="004A3AAD" w:rsidRDefault="00D37D43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lastRenderedPageBreak/>
        <w:t>Connaître</w:t>
      </w:r>
      <w:r w:rsidR="00F44E6B">
        <w:rPr>
          <w:bCs/>
          <w:iCs/>
          <w:sz w:val="24"/>
          <w:szCs w:val="24"/>
        </w:rPr>
        <w:t xml:space="preserve"> les concepts de la qualité et les démarches qualité dans les structures transfusionnelles</w:t>
      </w:r>
      <w:r w:rsidR="00215854">
        <w:rPr>
          <w:bCs/>
          <w:iCs/>
          <w:sz w:val="24"/>
          <w:szCs w:val="24"/>
        </w:rPr>
        <w:t>,</w:t>
      </w:r>
    </w:p>
    <w:p w:rsidR="006C7BB4" w:rsidRPr="004A3AAD" w:rsidRDefault="0006619D" w:rsidP="008F1EFD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 xml:space="preserve">Connaître les indications, les règles </w:t>
      </w:r>
      <w:proofErr w:type="spellStart"/>
      <w:r w:rsidRPr="004A3AAD">
        <w:rPr>
          <w:bCs/>
          <w:iCs/>
          <w:sz w:val="24"/>
          <w:szCs w:val="24"/>
        </w:rPr>
        <w:t>immuno</w:t>
      </w:r>
      <w:proofErr w:type="spellEnd"/>
      <w:r w:rsidRPr="004A3AAD">
        <w:rPr>
          <w:bCs/>
          <w:iCs/>
          <w:sz w:val="24"/>
          <w:szCs w:val="24"/>
        </w:rPr>
        <w:t>-hématologiques et les modalités pratiques de la transfusion des produits sangui</w:t>
      </w:r>
      <w:r w:rsidR="00F109A8">
        <w:rPr>
          <w:bCs/>
          <w:iCs/>
          <w:sz w:val="24"/>
          <w:szCs w:val="24"/>
        </w:rPr>
        <w:t>ns labiles en pratique clinique</w:t>
      </w:r>
      <w:r w:rsidR="00215854">
        <w:rPr>
          <w:bCs/>
          <w:iCs/>
          <w:sz w:val="24"/>
          <w:szCs w:val="24"/>
        </w:rPr>
        <w:t>,</w:t>
      </w:r>
    </w:p>
    <w:p w:rsidR="00215854" w:rsidRDefault="00215854" w:rsidP="00F44E6B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Connaître les notions de base</w:t>
      </w:r>
      <w:r w:rsidR="0006619D" w:rsidRPr="004A3AAD">
        <w:rPr>
          <w:bCs/>
          <w:iCs/>
          <w:sz w:val="24"/>
          <w:szCs w:val="24"/>
        </w:rPr>
        <w:t xml:space="preserve"> nécessaires pour l’init</w:t>
      </w:r>
      <w:r>
        <w:rPr>
          <w:bCs/>
          <w:iCs/>
          <w:sz w:val="24"/>
          <w:szCs w:val="24"/>
        </w:rPr>
        <w:t>iation à la thérapie cellulaire,</w:t>
      </w:r>
    </w:p>
    <w:p w:rsidR="00F44E6B" w:rsidRPr="00F44E6B" w:rsidRDefault="00F44E6B" w:rsidP="00F44E6B">
      <w:pPr>
        <w:pStyle w:val="Paragraphedeliste"/>
        <w:numPr>
          <w:ilvl w:val="0"/>
          <w:numId w:val="2"/>
        </w:numPr>
        <w:spacing w:before="120" w:after="120"/>
        <w:jc w:val="both"/>
        <w:rPr>
          <w:bCs/>
          <w:iCs/>
          <w:sz w:val="24"/>
          <w:szCs w:val="24"/>
        </w:rPr>
      </w:pPr>
      <w:r w:rsidRPr="00F44E6B">
        <w:rPr>
          <w:bCs/>
          <w:iCs/>
          <w:sz w:val="24"/>
          <w:szCs w:val="24"/>
        </w:rPr>
        <w:t xml:space="preserve"> </w:t>
      </w:r>
      <w:r w:rsidR="00215854">
        <w:rPr>
          <w:bCs/>
          <w:iCs/>
          <w:sz w:val="24"/>
          <w:szCs w:val="24"/>
        </w:rPr>
        <w:t>Maî</w:t>
      </w:r>
      <w:r>
        <w:rPr>
          <w:bCs/>
          <w:iCs/>
          <w:sz w:val="24"/>
          <w:szCs w:val="24"/>
        </w:rPr>
        <w:t xml:space="preserve">triser </w:t>
      </w:r>
      <w:r w:rsidR="007152CE">
        <w:rPr>
          <w:bCs/>
          <w:iCs/>
          <w:sz w:val="24"/>
          <w:szCs w:val="24"/>
        </w:rPr>
        <w:t xml:space="preserve">les principes, le déroulement, et les complications de </w:t>
      </w:r>
      <w:r>
        <w:rPr>
          <w:bCs/>
          <w:iCs/>
          <w:sz w:val="24"/>
          <w:szCs w:val="24"/>
        </w:rPr>
        <w:t xml:space="preserve">l'autogreffe et </w:t>
      </w:r>
      <w:r w:rsidR="007152CE">
        <w:rPr>
          <w:bCs/>
          <w:iCs/>
          <w:sz w:val="24"/>
          <w:szCs w:val="24"/>
        </w:rPr>
        <w:t xml:space="preserve">de </w:t>
      </w:r>
      <w:r>
        <w:rPr>
          <w:bCs/>
          <w:iCs/>
          <w:sz w:val="24"/>
          <w:szCs w:val="24"/>
        </w:rPr>
        <w:t>l'allogreffe des cellules souches hématopoïétiques</w:t>
      </w:r>
      <w:r w:rsidR="00215854">
        <w:rPr>
          <w:bCs/>
          <w:iCs/>
          <w:sz w:val="24"/>
          <w:szCs w:val="24"/>
        </w:rPr>
        <w:t>.</w:t>
      </w:r>
    </w:p>
    <w:p w:rsidR="005F132C" w:rsidRPr="004A3AAD" w:rsidRDefault="005F132C" w:rsidP="004A3AAD">
      <w:pPr>
        <w:spacing w:before="120" w:after="120" w:line="360" w:lineRule="auto"/>
        <w:jc w:val="both"/>
        <w:rPr>
          <w:b/>
          <w:bCs/>
          <w:iCs/>
          <w:sz w:val="24"/>
          <w:szCs w:val="24"/>
          <w:u w:val="single"/>
        </w:rPr>
      </w:pPr>
      <w:r w:rsidRPr="004A3AAD">
        <w:rPr>
          <w:b/>
          <w:bCs/>
          <w:iCs/>
          <w:sz w:val="24"/>
          <w:szCs w:val="24"/>
          <w:u w:val="single"/>
        </w:rPr>
        <w:t>Conditions d’accès </w:t>
      </w:r>
      <w:r w:rsidR="00953531" w:rsidRPr="004A3AAD">
        <w:rPr>
          <w:b/>
          <w:bCs/>
          <w:iCs/>
          <w:sz w:val="24"/>
          <w:szCs w:val="24"/>
          <w:u w:val="single"/>
        </w:rPr>
        <w:t>à la formation</w:t>
      </w:r>
    </w:p>
    <w:p w:rsidR="005F132C" w:rsidRPr="004A3AAD" w:rsidRDefault="00215854" w:rsidP="008F1EFD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Cette f</w:t>
      </w:r>
      <w:r w:rsidR="005F132C" w:rsidRPr="004A3AAD">
        <w:rPr>
          <w:bCs/>
          <w:iCs/>
          <w:sz w:val="24"/>
          <w:szCs w:val="24"/>
        </w:rPr>
        <w:t>ormation est ouverte</w:t>
      </w:r>
      <w:r>
        <w:rPr>
          <w:bCs/>
          <w:iCs/>
          <w:sz w:val="24"/>
          <w:szCs w:val="24"/>
        </w:rPr>
        <w:t xml:space="preserve"> aux pharmaciens, médecins, résidents en pharmacie résidents </w:t>
      </w:r>
      <w:r w:rsidR="005F132C" w:rsidRPr="004A3AAD">
        <w:rPr>
          <w:bCs/>
          <w:iCs/>
          <w:sz w:val="24"/>
          <w:szCs w:val="24"/>
        </w:rPr>
        <w:t xml:space="preserve">en médecine et aux licenciés en biologie médicale ou </w:t>
      </w:r>
      <w:r>
        <w:rPr>
          <w:bCs/>
          <w:iCs/>
          <w:sz w:val="24"/>
          <w:szCs w:val="24"/>
        </w:rPr>
        <w:t>titulaires d’un diplôme</w:t>
      </w:r>
      <w:r w:rsidR="005F132C" w:rsidRPr="004A3AAD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jugé</w:t>
      </w:r>
      <w:r w:rsidR="005D3725" w:rsidRPr="004A3AAD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équivalent</w:t>
      </w:r>
      <w:r w:rsidR="005F132C" w:rsidRPr="004A3AAD">
        <w:rPr>
          <w:bCs/>
          <w:iCs/>
          <w:sz w:val="24"/>
          <w:szCs w:val="24"/>
        </w:rPr>
        <w:t xml:space="preserve"> et habilités à exercer dans des structures transfusionnelles.</w:t>
      </w:r>
    </w:p>
    <w:p w:rsidR="009B0685" w:rsidRPr="001A7FFB" w:rsidRDefault="00672D6A" w:rsidP="008F1E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b/>
          <w:sz w:val="24"/>
          <w:szCs w:val="24"/>
        </w:rPr>
      </w:pPr>
      <w:r w:rsidRPr="004A3AAD">
        <w:rPr>
          <w:bCs/>
          <w:iCs/>
          <w:sz w:val="24"/>
          <w:szCs w:val="24"/>
        </w:rPr>
        <w:t>La sélection tiendra compte d’un score obtenu par le candida</w:t>
      </w:r>
      <w:r w:rsidR="00953531" w:rsidRPr="004A3AAD">
        <w:rPr>
          <w:bCs/>
          <w:iCs/>
          <w:sz w:val="24"/>
          <w:szCs w:val="24"/>
        </w:rPr>
        <w:t>t. Ce score sera attribué par la</w:t>
      </w:r>
      <w:r w:rsidRPr="004A3AAD">
        <w:rPr>
          <w:bCs/>
          <w:iCs/>
          <w:sz w:val="24"/>
          <w:szCs w:val="24"/>
        </w:rPr>
        <w:t xml:space="preserve"> commission du mastère et calculé en fonction de la nature du diplôme</w:t>
      </w:r>
      <w:r w:rsidR="001D70B6" w:rsidRPr="004A3AAD">
        <w:rPr>
          <w:bCs/>
          <w:iCs/>
          <w:sz w:val="24"/>
          <w:szCs w:val="24"/>
        </w:rPr>
        <w:t xml:space="preserve">, de la moyenne </w:t>
      </w:r>
      <w:r w:rsidR="00215854" w:rsidRPr="004A3AAD">
        <w:rPr>
          <w:sz w:val="24"/>
          <w:szCs w:val="24"/>
        </w:rPr>
        <w:t>au cours du 2</w:t>
      </w:r>
      <w:r w:rsidR="00215854" w:rsidRPr="004A3AAD">
        <w:rPr>
          <w:sz w:val="24"/>
          <w:szCs w:val="24"/>
          <w:vertAlign w:val="superscript"/>
        </w:rPr>
        <w:t>ème</w:t>
      </w:r>
      <w:r w:rsidR="00215854" w:rsidRPr="004A3AAD">
        <w:rPr>
          <w:sz w:val="24"/>
          <w:szCs w:val="24"/>
        </w:rPr>
        <w:t xml:space="preserve"> cycle pour les p</w:t>
      </w:r>
      <w:r w:rsidR="008B7CCF">
        <w:rPr>
          <w:sz w:val="24"/>
          <w:szCs w:val="24"/>
        </w:rPr>
        <w:t xml:space="preserve">harmaciens, médecins </w:t>
      </w:r>
      <w:r w:rsidR="00215854" w:rsidRPr="004A3AAD">
        <w:rPr>
          <w:sz w:val="24"/>
          <w:szCs w:val="24"/>
        </w:rPr>
        <w:t>et résidents en pharmacie et en médecine</w:t>
      </w:r>
      <w:r w:rsidR="00215854">
        <w:rPr>
          <w:sz w:val="24"/>
          <w:szCs w:val="24"/>
        </w:rPr>
        <w:t xml:space="preserve"> et </w:t>
      </w:r>
      <w:r w:rsidR="001D70B6" w:rsidRPr="00215854">
        <w:rPr>
          <w:bCs/>
          <w:iCs/>
          <w:sz w:val="24"/>
          <w:szCs w:val="24"/>
        </w:rPr>
        <w:t>des trois années d’études</w:t>
      </w:r>
      <w:r w:rsidR="00215854">
        <w:rPr>
          <w:bCs/>
          <w:iCs/>
          <w:sz w:val="24"/>
          <w:szCs w:val="24"/>
        </w:rPr>
        <w:t xml:space="preserve"> pour les licenciés en biologie médicale</w:t>
      </w:r>
      <w:r w:rsidR="001D70B6" w:rsidRPr="00215854">
        <w:rPr>
          <w:bCs/>
          <w:iCs/>
          <w:sz w:val="24"/>
          <w:szCs w:val="24"/>
        </w:rPr>
        <w:t>, de la moyenne des matières jugées fo</w:t>
      </w:r>
      <w:r w:rsidR="00F44E6B" w:rsidRPr="00215854">
        <w:rPr>
          <w:bCs/>
          <w:iCs/>
          <w:sz w:val="24"/>
          <w:szCs w:val="24"/>
        </w:rPr>
        <w:t xml:space="preserve">ndamentales pour la </w:t>
      </w:r>
      <w:r w:rsidR="00215854" w:rsidRPr="00215854">
        <w:rPr>
          <w:bCs/>
          <w:iCs/>
          <w:sz w:val="24"/>
          <w:szCs w:val="24"/>
        </w:rPr>
        <w:t>formation,</w:t>
      </w:r>
      <w:r w:rsidR="001D70B6" w:rsidRPr="00215854">
        <w:rPr>
          <w:bCs/>
          <w:iCs/>
          <w:sz w:val="24"/>
          <w:szCs w:val="24"/>
        </w:rPr>
        <w:t xml:space="preserve"> de l’expérience professionnelle</w:t>
      </w:r>
      <w:r w:rsidR="00F44E6B" w:rsidRPr="00215854">
        <w:rPr>
          <w:bCs/>
          <w:iCs/>
          <w:sz w:val="24"/>
          <w:szCs w:val="24"/>
        </w:rPr>
        <w:t xml:space="preserve"> dans </w:t>
      </w:r>
      <w:r w:rsidR="00F109A8" w:rsidRPr="00215854">
        <w:rPr>
          <w:bCs/>
          <w:iCs/>
          <w:sz w:val="24"/>
          <w:szCs w:val="24"/>
        </w:rPr>
        <w:t>le domaine de la transformation</w:t>
      </w:r>
      <w:r w:rsidR="00F44E6B" w:rsidRPr="00215854">
        <w:rPr>
          <w:bCs/>
          <w:iCs/>
          <w:sz w:val="24"/>
          <w:szCs w:val="24"/>
        </w:rPr>
        <w:t xml:space="preserve"> et du contenu de la lettre de motivation</w:t>
      </w:r>
      <w:r w:rsidR="0047624F">
        <w:rPr>
          <w:b/>
          <w:iCs/>
          <w:sz w:val="24"/>
          <w:szCs w:val="24"/>
        </w:rPr>
        <w:t xml:space="preserve"> </w:t>
      </w:r>
      <w:r w:rsidR="002621C6" w:rsidRPr="001A7FFB">
        <w:rPr>
          <w:b/>
          <w:iCs/>
          <w:sz w:val="24"/>
          <w:szCs w:val="24"/>
        </w:rPr>
        <w:t>( voir tableau relatif aux critères de sélection)</w:t>
      </w:r>
      <w:r w:rsidR="0047624F">
        <w:rPr>
          <w:b/>
          <w:iCs/>
          <w:sz w:val="24"/>
          <w:szCs w:val="24"/>
        </w:rPr>
        <w:t xml:space="preserve">. </w:t>
      </w:r>
    </w:p>
    <w:p w:rsidR="00EE4F76" w:rsidRPr="004A3AAD" w:rsidRDefault="00215854" w:rsidP="008F1EFD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NB : U</w:t>
      </w:r>
      <w:r w:rsidR="00EE4F76">
        <w:rPr>
          <w:bCs/>
          <w:iCs/>
          <w:sz w:val="24"/>
          <w:szCs w:val="24"/>
        </w:rPr>
        <w:t>n entretien oral, jugé indispensable par la commission, pourrait être demandé.</w:t>
      </w:r>
    </w:p>
    <w:p w:rsidR="001D70B6" w:rsidRPr="001A7FFB" w:rsidRDefault="001D70B6" w:rsidP="002621C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b/>
          <w:bCs/>
          <w:iCs/>
          <w:sz w:val="24"/>
          <w:szCs w:val="24"/>
        </w:rPr>
      </w:pPr>
      <w:r w:rsidRPr="001A7FFB">
        <w:rPr>
          <w:b/>
          <w:bCs/>
          <w:iCs/>
          <w:sz w:val="24"/>
          <w:szCs w:val="24"/>
        </w:rPr>
        <w:t>Le nombre de poste</w:t>
      </w:r>
      <w:r w:rsidR="00F109A8" w:rsidRPr="001A7FFB">
        <w:rPr>
          <w:b/>
          <w:bCs/>
          <w:iCs/>
          <w:sz w:val="24"/>
          <w:szCs w:val="24"/>
        </w:rPr>
        <w:t>s</w:t>
      </w:r>
      <w:r w:rsidRPr="001A7FFB">
        <w:rPr>
          <w:b/>
          <w:bCs/>
          <w:iCs/>
          <w:sz w:val="24"/>
          <w:szCs w:val="24"/>
        </w:rPr>
        <w:t xml:space="preserve"> </w:t>
      </w:r>
      <w:r w:rsidR="0047624F">
        <w:rPr>
          <w:b/>
          <w:bCs/>
          <w:iCs/>
          <w:sz w:val="24"/>
          <w:szCs w:val="24"/>
        </w:rPr>
        <w:t>est fixé à 2</w:t>
      </w:r>
      <w:r w:rsidR="005B1364">
        <w:rPr>
          <w:b/>
          <w:bCs/>
          <w:iCs/>
          <w:sz w:val="24"/>
          <w:szCs w:val="24"/>
        </w:rPr>
        <w:t>0</w:t>
      </w:r>
      <w:r w:rsidRPr="001A7FFB">
        <w:rPr>
          <w:b/>
          <w:bCs/>
          <w:iCs/>
          <w:sz w:val="24"/>
          <w:szCs w:val="24"/>
        </w:rPr>
        <w:t>.</w:t>
      </w:r>
    </w:p>
    <w:p w:rsidR="002621C6" w:rsidRPr="0047624F" w:rsidRDefault="002621C6" w:rsidP="0047624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b/>
          <w:bCs/>
          <w:iCs/>
          <w:sz w:val="24"/>
          <w:szCs w:val="24"/>
        </w:rPr>
      </w:pPr>
      <w:r w:rsidRPr="001A7FFB">
        <w:rPr>
          <w:b/>
          <w:bCs/>
          <w:iCs/>
          <w:sz w:val="24"/>
          <w:szCs w:val="24"/>
        </w:rPr>
        <w:t>Un quota de trois postes  sera réservé aux étudiants étrangers.</w:t>
      </w:r>
    </w:p>
    <w:p w:rsidR="001D70B6" w:rsidRPr="004A3AAD" w:rsidRDefault="001D70B6" w:rsidP="004A3AAD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Cs/>
          <w:sz w:val="24"/>
          <w:szCs w:val="24"/>
          <w:u w:val="single"/>
        </w:rPr>
      </w:pPr>
      <w:r w:rsidRPr="004A3AAD">
        <w:rPr>
          <w:b/>
          <w:bCs/>
          <w:iCs/>
          <w:sz w:val="24"/>
          <w:szCs w:val="24"/>
          <w:u w:val="single"/>
        </w:rPr>
        <w:t>Dossier</w:t>
      </w:r>
      <w:r w:rsidR="00953531" w:rsidRPr="004A3AAD">
        <w:rPr>
          <w:b/>
          <w:bCs/>
          <w:iCs/>
          <w:sz w:val="24"/>
          <w:szCs w:val="24"/>
          <w:u w:val="single"/>
        </w:rPr>
        <w:t xml:space="preserve"> à fournir</w:t>
      </w:r>
    </w:p>
    <w:p w:rsidR="001D70B6" w:rsidRPr="004A3AAD" w:rsidRDefault="001D70B6" w:rsidP="004A3AAD">
      <w:pPr>
        <w:autoSpaceDE w:val="0"/>
        <w:autoSpaceDN w:val="0"/>
        <w:adjustRightInd w:val="0"/>
        <w:spacing w:before="120" w:after="120" w:line="360" w:lineRule="auto"/>
        <w:jc w:val="both"/>
        <w:rPr>
          <w:bCs/>
          <w:iCs/>
          <w:sz w:val="24"/>
          <w:szCs w:val="24"/>
        </w:rPr>
      </w:pPr>
      <w:r w:rsidRPr="004A3AAD">
        <w:rPr>
          <w:bCs/>
          <w:iCs/>
          <w:sz w:val="24"/>
          <w:szCs w:val="24"/>
        </w:rPr>
        <w:t>Le dossier de candidature doit comporter :</w:t>
      </w:r>
    </w:p>
    <w:p w:rsidR="00336D85" w:rsidRDefault="00336D85" w:rsidP="008F1E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demande manuscrite au nom de Monsieur le Doyen de la Faculté de Pharmacie de Monastir, </w:t>
      </w:r>
    </w:p>
    <w:p w:rsidR="00D9557E" w:rsidRPr="004A3AAD" w:rsidRDefault="00D9557E" w:rsidP="008F1E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4A3AAD">
        <w:rPr>
          <w:sz w:val="24"/>
          <w:szCs w:val="24"/>
        </w:rPr>
        <w:t>Le formulaire de dépôt de candidature imprimé à partir du</w:t>
      </w:r>
      <w:r w:rsidR="001D70B6" w:rsidRPr="004A3AAD">
        <w:rPr>
          <w:sz w:val="24"/>
          <w:szCs w:val="24"/>
        </w:rPr>
        <w:t xml:space="preserve"> site </w:t>
      </w:r>
      <w:r w:rsidRPr="004A3AAD">
        <w:rPr>
          <w:sz w:val="24"/>
          <w:szCs w:val="24"/>
        </w:rPr>
        <w:t xml:space="preserve">web </w:t>
      </w:r>
      <w:r w:rsidR="00F109A8">
        <w:rPr>
          <w:sz w:val="24"/>
          <w:szCs w:val="24"/>
        </w:rPr>
        <w:t>de la F</w:t>
      </w:r>
      <w:r w:rsidR="001D70B6" w:rsidRPr="004A3AAD">
        <w:rPr>
          <w:sz w:val="24"/>
          <w:szCs w:val="24"/>
        </w:rPr>
        <w:t xml:space="preserve">aculté </w:t>
      </w:r>
      <w:r w:rsidR="00F109A8">
        <w:rPr>
          <w:sz w:val="24"/>
          <w:szCs w:val="24"/>
        </w:rPr>
        <w:t>de P</w:t>
      </w:r>
      <w:r w:rsidRPr="004A3AAD">
        <w:rPr>
          <w:sz w:val="24"/>
          <w:szCs w:val="24"/>
        </w:rPr>
        <w:t>harmacie</w:t>
      </w:r>
      <w:r w:rsidR="00F109A8">
        <w:rPr>
          <w:sz w:val="24"/>
          <w:szCs w:val="24"/>
        </w:rPr>
        <w:t xml:space="preserve"> de Monastir</w:t>
      </w:r>
      <w:r w:rsidR="00215854">
        <w:rPr>
          <w:sz w:val="24"/>
          <w:szCs w:val="24"/>
        </w:rPr>
        <w:t xml:space="preserve"> (</w:t>
      </w:r>
      <w:r w:rsidR="008B7CCF">
        <w:rPr>
          <w:sz w:val="24"/>
          <w:szCs w:val="24"/>
        </w:rPr>
        <w:t>http://www.fphm.rnu.tn),</w:t>
      </w:r>
    </w:p>
    <w:p w:rsidR="001D70B6" w:rsidRPr="004A3AAD" w:rsidRDefault="00846843" w:rsidP="008F1E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 curriculum vitae</w:t>
      </w:r>
      <w:r w:rsidR="00D9557E" w:rsidRPr="004A3AAD">
        <w:rPr>
          <w:sz w:val="24"/>
          <w:szCs w:val="24"/>
        </w:rPr>
        <w:t>,</w:t>
      </w:r>
    </w:p>
    <w:p w:rsidR="001D70B6" w:rsidRPr="004A3AAD" w:rsidRDefault="00D9557E" w:rsidP="008F1E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4A3AAD">
        <w:rPr>
          <w:sz w:val="24"/>
          <w:szCs w:val="24"/>
        </w:rPr>
        <w:t>1</w:t>
      </w:r>
      <w:r w:rsidR="001D70B6" w:rsidRPr="004A3AAD">
        <w:rPr>
          <w:sz w:val="24"/>
          <w:szCs w:val="24"/>
        </w:rPr>
        <w:t xml:space="preserve"> copie </w:t>
      </w:r>
      <w:r w:rsidR="00336D85">
        <w:rPr>
          <w:sz w:val="24"/>
          <w:szCs w:val="24"/>
        </w:rPr>
        <w:t xml:space="preserve">certifiée conforme à l’original </w:t>
      </w:r>
      <w:r w:rsidRPr="004A3AAD">
        <w:rPr>
          <w:sz w:val="24"/>
          <w:szCs w:val="24"/>
        </w:rPr>
        <w:t xml:space="preserve">du baccalauréat et </w:t>
      </w:r>
      <w:r w:rsidR="001D70B6" w:rsidRPr="004A3AAD">
        <w:rPr>
          <w:sz w:val="24"/>
          <w:szCs w:val="24"/>
        </w:rPr>
        <w:t>des diplômes universitaires</w:t>
      </w:r>
      <w:r w:rsidRPr="004A3AAD">
        <w:rPr>
          <w:sz w:val="24"/>
          <w:szCs w:val="24"/>
        </w:rPr>
        <w:t>,</w:t>
      </w:r>
    </w:p>
    <w:p w:rsidR="001D70B6" w:rsidRPr="004A3AAD" w:rsidRDefault="00D9557E" w:rsidP="008F1EF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4A3AAD">
        <w:rPr>
          <w:sz w:val="24"/>
          <w:szCs w:val="24"/>
        </w:rPr>
        <w:t xml:space="preserve">1 </w:t>
      </w:r>
      <w:r w:rsidR="001D70B6" w:rsidRPr="004A3AAD">
        <w:rPr>
          <w:sz w:val="24"/>
          <w:szCs w:val="24"/>
        </w:rPr>
        <w:t>copie de la C.I.N. ou du passeport pour les étudiants étrangers</w:t>
      </w:r>
      <w:r w:rsidRPr="004A3AAD">
        <w:rPr>
          <w:sz w:val="24"/>
          <w:szCs w:val="24"/>
        </w:rPr>
        <w:t>,</w:t>
      </w:r>
    </w:p>
    <w:p w:rsidR="001D70B6" w:rsidRPr="00336D85" w:rsidRDefault="00F109A8" w:rsidP="00336D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 copie du</w:t>
      </w:r>
      <w:r w:rsidR="00D9557E" w:rsidRPr="004A3AAD">
        <w:rPr>
          <w:sz w:val="24"/>
          <w:szCs w:val="24"/>
        </w:rPr>
        <w:t xml:space="preserve"> r</w:t>
      </w:r>
      <w:r w:rsidR="00215854">
        <w:rPr>
          <w:sz w:val="24"/>
          <w:szCs w:val="24"/>
        </w:rPr>
        <w:t>elevé des</w:t>
      </w:r>
      <w:r w:rsidR="001D70B6" w:rsidRPr="004A3AAD">
        <w:rPr>
          <w:sz w:val="24"/>
          <w:szCs w:val="24"/>
        </w:rPr>
        <w:t xml:space="preserve"> notes obtenues au cours du 2</w:t>
      </w:r>
      <w:r w:rsidR="001D70B6" w:rsidRPr="004A3AAD">
        <w:rPr>
          <w:sz w:val="24"/>
          <w:szCs w:val="24"/>
          <w:vertAlign w:val="superscript"/>
        </w:rPr>
        <w:t>ème</w:t>
      </w:r>
      <w:r w:rsidR="001D70B6" w:rsidRPr="004A3AAD">
        <w:rPr>
          <w:sz w:val="24"/>
          <w:szCs w:val="24"/>
        </w:rPr>
        <w:t xml:space="preserve"> cycle pour les </w:t>
      </w:r>
      <w:r w:rsidR="00D9557E" w:rsidRPr="004A3AAD">
        <w:rPr>
          <w:sz w:val="24"/>
          <w:szCs w:val="24"/>
        </w:rPr>
        <w:t>p</w:t>
      </w:r>
      <w:r w:rsidR="001D70B6" w:rsidRPr="004A3AAD">
        <w:rPr>
          <w:sz w:val="24"/>
          <w:szCs w:val="24"/>
        </w:rPr>
        <w:t xml:space="preserve">harmaciens, médecins, et résidents en pharmacie et </w:t>
      </w:r>
      <w:r w:rsidR="00D9557E" w:rsidRPr="004A3AAD">
        <w:rPr>
          <w:sz w:val="24"/>
          <w:szCs w:val="24"/>
        </w:rPr>
        <w:t>en médecin</w:t>
      </w:r>
      <w:r w:rsidR="004A3AAD" w:rsidRPr="004A3AAD">
        <w:rPr>
          <w:sz w:val="24"/>
          <w:szCs w:val="24"/>
        </w:rPr>
        <w:t>e</w:t>
      </w:r>
      <w:r w:rsidR="00336D85">
        <w:rPr>
          <w:sz w:val="24"/>
          <w:szCs w:val="24"/>
        </w:rPr>
        <w:t xml:space="preserve"> ou </w:t>
      </w:r>
      <w:r w:rsidR="001D70B6" w:rsidRPr="00336D85">
        <w:rPr>
          <w:sz w:val="24"/>
          <w:szCs w:val="24"/>
        </w:rPr>
        <w:t>au cours des trois années d'études po</w:t>
      </w:r>
      <w:r w:rsidR="00D9557E" w:rsidRPr="00336D85">
        <w:rPr>
          <w:sz w:val="24"/>
          <w:szCs w:val="24"/>
        </w:rPr>
        <w:t>ur les titulaires d'une licence,</w:t>
      </w:r>
    </w:p>
    <w:p w:rsidR="00336D85" w:rsidRPr="00336D85" w:rsidRDefault="00336D85" w:rsidP="00336D85">
      <w:pPr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36D85">
        <w:rPr>
          <w:sz w:val="24"/>
          <w:szCs w:val="24"/>
        </w:rPr>
        <w:t xml:space="preserve">Une copie de la carte d’identité nationale ou du passeport pour les étudiants étrangers, </w:t>
      </w:r>
    </w:p>
    <w:p w:rsidR="00336D85" w:rsidRPr="00336D85" w:rsidRDefault="00D9557E" w:rsidP="00336D85">
      <w:pPr>
        <w:pStyle w:val="Paragraphedeliste"/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 w:rsidRPr="004A3AAD">
        <w:rPr>
          <w:sz w:val="24"/>
          <w:szCs w:val="24"/>
        </w:rPr>
        <w:t>4</w:t>
      </w:r>
      <w:r w:rsidR="001D70B6" w:rsidRPr="004A3AAD">
        <w:rPr>
          <w:sz w:val="24"/>
          <w:szCs w:val="24"/>
        </w:rPr>
        <w:t xml:space="preserve"> enveloppes timbrées libellées à l'adresse du candidat</w:t>
      </w:r>
      <w:r w:rsidRPr="004A3AAD">
        <w:rPr>
          <w:sz w:val="24"/>
          <w:szCs w:val="24"/>
        </w:rPr>
        <w:t>.</w:t>
      </w:r>
    </w:p>
    <w:p w:rsidR="00336D85" w:rsidRDefault="00336D85" w:rsidP="00336D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4A3AAD">
        <w:rPr>
          <w:sz w:val="24"/>
          <w:szCs w:val="24"/>
        </w:rPr>
        <w:t xml:space="preserve">Une lettre de </w:t>
      </w:r>
      <w:r w:rsidR="0047624F">
        <w:rPr>
          <w:sz w:val="24"/>
          <w:szCs w:val="24"/>
        </w:rPr>
        <w:t xml:space="preserve">motivation. </w:t>
      </w:r>
    </w:p>
    <w:p w:rsidR="00336D85" w:rsidRPr="004A3AAD" w:rsidRDefault="00336D85" w:rsidP="00336D85">
      <w:pPr>
        <w:pStyle w:val="Paragraphedeliste"/>
        <w:spacing w:before="120" w:after="120"/>
        <w:jc w:val="both"/>
        <w:rPr>
          <w:sz w:val="24"/>
          <w:szCs w:val="24"/>
        </w:rPr>
      </w:pPr>
    </w:p>
    <w:p w:rsidR="00953531" w:rsidRPr="00EE4F76" w:rsidRDefault="00953531" w:rsidP="004A3AAD">
      <w:pPr>
        <w:autoSpaceDE w:val="0"/>
        <w:autoSpaceDN w:val="0"/>
        <w:adjustRightInd w:val="0"/>
        <w:spacing w:before="120" w:after="120" w:line="360" w:lineRule="auto"/>
        <w:rPr>
          <w:b/>
          <w:bCs/>
          <w:iCs/>
          <w:sz w:val="24"/>
          <w:szCs w:val="24"/>
          <w:u w:val="single"/>
        </w:rPr>
      </w:pPr>
      <w:r w:rsidRPr="00EE4F76">
        <w:rPr>
          <w:b/>
          <w:bCs/>
          <w:iCs/>
          <w:sz w:val="24"/>
          <w:szCs w:val="24"/>
          <w:u w:val="single"/>
        </w:rPr>
        <w:lastRenderedPageBreak/>
        <w:t>Les dossiers sont adressés à</w:t>
      </w:r>
    </w:p>
    <w:p w:rsidR="00336D85" w:rsidRPr="00336D85" w:rsidRDefault="00336D85" w:rsidP="004A3AAD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336D85">
        <w:rPr>
          <w:sz w:val="24"/>
          <w:szCs w:val="24"/>
        </w:rPr>
        <w:t>Monsieur le Doyen de la Faculté de Pharmacie de Monastir </w:t>
      </w:r>
    </w:p>
    <w:p w:rsidR="00336D85" w:rsidRDefault="00953531" w:rsidP="00336D85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4A3AAD">
        <w:rPr>
          <w:sz w:val="24"/>
          <w:szCs w:val="24"/>
        </w:rPr>
        <w:t>Service du 3</w:t>
      </w:r>
      <w:r w:rsidRPr="004A3AAD">
        <w:rPr>
          <w:sz w:val="24"/>
          <w:szCs w:val="24"/>
          <w:vertAlign w:val="superscript"/>
        </w:rPr>
        <w:t>ème</w:t>
      </w:r>
      <w:r w:rsidRPr="004A3AAD">
        <w:rPr>
          <w:sz w:val="24"/>
          <w:szCs w:val="24"/>
        </w:rPr>
        <w:t xml:space="preserve"> cycle</w:t>
      </w:r>
      <w:r w:rsidR="004A3AAD">
        <w:rPr>
          <w:sz w:val="24"/>
          <w:szCs w:val="24"/>
        </w:rPr>
        <w:t xml:space="preserve"> ; </w:t>
      </w:r>
      <w:r w:rsidR="00336D85">
        <w:rPr>
          <w:sz w:val="24"/>
          <w:szCs w:val="24"/>
        </w:rPr>
        <w:t>Rue Avicenne. 5000 Monastir</w:t>
      </w:r>
    </w:p>
    <w:p w:rsidR="00336D85" w:rsidRPr="00336D85" w:rsidRDefault="00336D85" w:rsidP="00336D85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Pr="00336D85">
        <w:rPr>
          <w:rFonts w:ascii="Times New Roman" w:hAnsi="Times New Roman" w:cs="Times New Roman"/>
          <w:sz w:val="24"/>
          <w:szCs w:val="24"/>
        </w:rPr>
        <w:t>crire sur l’enveloppe le nom du mastère)</w:t>
      </w:r>
    </w:p>
    <w:p w:rsidR="00953531" w:rsidRPr="00EE4F76" w:rsidRDefault="004A3AAD" w:rsidP="004A3AAD">
      <w:pPr>
        <w:spacing w:before="120" w:after="120" w:line="360" w:lineRule="auto"/>
        <w:jc w:val="both"/>
        <w:rPr>
          <w:b/>
          <w:sz w:val="24"/>
          <w:szCs w:val="24"/>
          <w:u w:val="single"/>
        </w:rPr>
      </w:pPr>
      <w:r w:rsidRPr="00EE4F76">
        <w:rPr>
          <w:b/>
          <w:sz w:val="24"/>
          <w:szCs w:val="24"/>
          <w:u w:val="single"/>
        </w:rPr>
        <w:t>Les mod</w:t>
      </w:r>
      <w:r w:rsidR="008B7CCF">
        <w:rPr>
          <w:b/>
          <w:sz w:val="24"/>
          <w:szCs w:val="24"/>
          <w:u w:val="single"/>
        </w:rPr>
        <w:t>alités et délais de candidature se feron</w:t>
      </w:r>
      <w:r w:rsidRPr="00EE4F76">
        <w:rPr>
          <w:b/>
          <w:sz w:val="24"/>
          <w:szCs w:val="24"/>
          <w:u w:val="single"/>
        </w:rPr>
        <w:t>t selon le calendrier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A3AAD" w:rsidRPr="00D94277" w:rsidTr="00D94277">
        <w:tc>
          <w:tcPr>
            <w:tcW w:w="4606" w:type="dxa"/>
          </w:tcPr>
          <w:p w:rsidR="004A3AAD" w:rsidRPr="00D94277" w:rsidRDefault="004A3AAD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>Dépôt des dossiers au service du 3</w:t>
            </w:r>
            <w:r w:rsidRPr="00D94277">
              <w:rPr>
                <w:sz w:val="24"/>
                <w:szCs w:val="24"/>
                <w:vertAlign w:val="superscript"/>
              </w:rPr>
              <w:t>ème</w:t>
            </w:r>
            <w:r w:rsidRPr="00D94277">
              <w:rPr>
                <w:sz w:val="24"/>
                <w:szCs w:val="24"/>
              </w:rPr>
              <w:t xml:space="preserve"> cycle de la Faculté de Pharmacie</w:t>
            </w:r>
          </w:p>
        </w:tc>
        <w:tc>
          <w:tcPr>
            <w:tcW w:w="4606" w:type="dxa"/>
          </w:tcPr>
          <w:p w:rsidR="004A3AAD" w:rsidRPr="00D94277" w:rsidRDefault="004A3AAD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>Au plus tard le</w:t>
            </w:r>
            <w:r w:rsidR="00F44E6B" w:rsidRPr="00D94277">
              <w:rPr>
                <w:sz w:val="24"/>
                <w:szCs w:val="24"/>
              </w:rPr>
              <w:t xml:space="preserve"> </w:t>
            </w:r>
            <w:r w:rsidR="00754E90">
              <w:rPr>
                <w:rFonts w:ascii="Helvetica" w:hAnsi="Helvetica" w:cs="Helvetica"/>
                <w:color w:val="000000"/>
                <w:shd w:val="clear" w:color="auto" w:fill="FFFFFF"/>
              </w:rPr>
              <w:t> </w:t>
            </w:r>
            <w:r w:rsidR="00754E90">
              <w:rPr>
                <w:rStyle w:val="object"/>
                <w:rFonts w:ascii="Helvetica" w:hAnsi="Helvetica" w:cs="Helvetica"/>
                <w:color w:val="005A95"/>
                <w:shd w:val="clear" w:color="auto" w:fill="FFFFFF"/>
              </w:rPr>
              <w:t>lundi 26 septembre 2022</w:t>
            </w:r>
            <w:bookmarkStart w:id="0" w:name="_GoBack"/>
            <w:bookmarkEnd w:id="0"/>
          </w:p>
        </w:tc>
      </w:tr>
      <w:tr w:rsidR="004A3AAD" w:rsidRPr="00D94277" w:rsidTr="00D94277">
        <w:tc>
          <w:tcPr>
            <w:tcW w:w="4606" w:type="dxa"/>
          </w:tcPr>
          <w:p w:rsidR="004A3AAD" w:rsidRPr="00D94277" w:rsidRDefault="004A3AAD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>Réunion de la commission</w:t>
            </w:r>
          </w:p>
        </w:tc>
        <w:tc>
          <w:tcPr>
            <w:tcW w:w="4606" w:type="dxa"/>
          </w:tcPr>
          <w:p w:rsidR="004A3AAD" w:rsidRPr="00D94277" w:rsidRDefault="0047624F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C023C" w:rsidRPr="00D94277">
              <w:rPr>
                <w:sz w:val="24"/>
                <w:szCs w:val="24"/>
              </w:rPr>
              <w:t>/</w:t>
            </w:r>
            <w:r w:rsidR="00DA6F39">
              <w:rPr>
                <w:sz w:val="24"/>
                <w:szCs w:val="24"/>
              </w:rPr>
              <w:t>09</w:t>
            </w:r>
            <w:r w:rsidR="005B1364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4A3AAD" w:rsidRPr="00D94277" w:rsidTr="00D94277">
        <w:tc>
          <w:tcPr>
            <w:tcW w:w="4606" w:type="dxa"/>
          </w:tcPr>
          <w:p w:rsidR="004A3AAD" w:rsidRPr="00D94277" w:rsidRDefault="004A3AAD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>Résultats de la sélection</w:t>
            </w:r>
          </w:p>
        </w:tc>
        <w:tc>
          <w:tcPr>
            <w:tcW w:w="4606" w:type="dxa"/>
          </w:tcPr>
          <w:p w:rsidR="004A3AAD" w:rsidRPr="00D94277" w:rsidRDefault="0047624F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7527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B7527E">
              <w:rPr>
                <w:sz w:val="24"/>
                <w:szCs w:val="24"/>
              </w:rPr>
              <w:t>9</w:t>
            </w:r>
            <w:r w:rsidR="000A5CEA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4A3AAD" w:rsidRPr="00D94277" w:rsidTr="00D94277">
        <w:tc>
          <w:tcPr>
            <w:tcW w:w="4606" w:type="dxa"/>
          </w:tcPr>
          <w:p w:rsidR="004A3AAD" w:rsidRPr="00D94277" w:rsidRDefault="004A3AAD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>Inscription</w:t>
            </w:r>
          </w:p>
        </w:tc>
        <w:tc>
          <w:tcPr>
            <w:tcW w:w="4606" w:type="dxa"/>
          </w:tcPr>
          <w:p w:rsidR="004A3AAD" w:rsidRPr="00D94277" w:rsidRDefault="00B7527E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24</w:t>
            </w:r>
            <w:r w:rsidR="0061207B" w:rsidRPr="00D94277">
              <w:rPr>
                <w:sz w:val="24"/>
                <w:szCs w:val="24"/>
              </w:rPr>
              <w:t xml:space="preserve"> au </w:t>
            </w:r>
            <w:r w:rsidR="00DA6F39">
              <w:rPr>
                <w:sz w:val="24"/>
                <w:szCs w:val="24"/>
              </w:rPr>
              <w:t>30/</w:t>
            </w:r>
            <w:r w:rsidR="0047624F">
              <w:rPr>
                <w:sz w:val="24"/>
                <w:szCs w:val="24"/>
              </w:rPr>
              <w:t>0</w:t>
            </w:r>
            <w:r w:rsidR="00DA6F3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/202</w:t>
            </w:r>
            <w:r w:rsidR="0047624F">
              <w:rPr>
                <w:sz w:val="24"/>
                <w:szCs w:val="24"/>
              </w:rPr>
              <w:t>2</w:t>
            </w:r>
          </w:p>
        </w:tc>
      </w:tr>
      <w:tr w:rsidR="004A3AAD" w:rsidRPr="00D94277" w:rsidTr="00D94277">
        <w:tc>
          <w:tcPr>
            <w:tcW w:w="4606" w:type="dxa"/>
          </w:tcPr>
          <w:p w:rsidR="004A3AAD" w:rsidRPr="00D94277" w:rsidRDefault="004A3AAD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>Démarrage des cours</w:t>
            </w:r>
          </w:p>
        </w:tc>
        <w:tc>
          <w:tcPr>
            <w:tcW w:w="4606" w:type="dxa"/>
          </w:tcPr>
          <w:p w:rsidR="004A3AAD" w:rsidRPr="00D94277" w:rsidRDefault="00F109A8" w:rsidP="00D94277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D94277">
              <w:rPr>
                <w:sz w:val="24"/>
                <w:szCs w:val="24"/>
              </w:rPr>
              <w:t xml:space="preserve">Première </w:t>
            </w:r>
            <w:r w:rsidR="000C023C" w:rsidRPr="00D94277">
              <w:rPr>
                <w:sz w:val="24"/>
                <w:szCs w:val="24"/>
              </w:rPr>
              <w:t xml:space="preserve">semaine du mois </w:t>
            </w:r>
            <w:r w:rsidR="00DA6F39">
              <w:rPr>
                <w:sz w:val="24"/>
                <w:szCs w:val="24"/>
              </w:rPr>
              <w:t>d'octobre</w:t>
            </w:r>
            <w:r w:rsidR="0046447A">
              <w:rPr>
                <w:sz w:val="24"/>
                <w:szCs w:val="24"/>
              </w:rPr>
              <w:t xml:space="preserve"> 202</w:t>
            </w:r>
            <w:r w:rsidR="0047624F">
              <w:rPr>
                <w:sz w:val="24"/>
                <w:szCs w:val="24"/>
              </w:rPr>
              <w:t>2</w:t>
            </w:r>
          </w:p>
        </w:tc>
      </w:tr>
    </w:tbl>
    <w:p w:rsidR="008F1EFD" w:rsidRDefault="007152CE" w:rsidP="008F1EF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les étudiants étra</w:t>
      </w:r>
      <w:r w:rsidR="00397398">
        <w:rPr>
          <w:sz w:val="24"/>
          <w:szCs w:val="24"/>
        </w:rPr>
        <w:t>n</w:t>
      </w:r>
      <w:r>
        <w:rPr>
          <w:sz w:val="24"/>
          <w:szCs w:val="24"/>
        </w:rPr>
        <w:t>gers les demandes d'insc</w:t>
      </w:r>
      <w:r w:rsidR="00397398">
        <w:rPr>
          <w:sz w:val="24"/>
          <w:szCs w:val="24"/>
        </w:rPr>
        <w:t>ription doivent être adressées  à la F</w:t>
      </w:r>
      <w:r>
        <w:rPr>
          <w:sz w:val="24"/>
          <w:szCs w:val="24"/>
        </w:rPr>
        <w:t>aculté de</w:t>
      </w:r>
      <w:r w:rsidR="00397398">
        <w:rPr>
          <w:sz w:val="24"/>
          <w:szCs w:val="24"/>
        </w:rPr>
        <w:t xml:space="preserve"> pharmacie de Monastir à travers </w:t>
      </w:r>
      <w:r>
        <w:rPr>
          <w:sz w:val="24"/>
          <w:szCs w:val="24"/>
        </w:rPr>
        <w:t xml:space="preserve"> l'ambassade </w:t>
      </w:r>
      <w:r w:rsidR="00397398">
        <w:rPr>
          <w:sz w:val="24"/>
          <w:szCs w:val="24"/>
        </w:rPr>
        <w:t>de leur pays et le ministère des affaires étrangères Tunisien.</w:t>
      </w:r>
    </w:p>
    <w:p w:rsidR="008F1EFD" w:rsidRPr="008F1EFD" w:rsidRDefault="008F1EFD" w:rsidP="008F1EFD">
      <w:pPr>
        <w:spacing w:before="120" w:after="120" w:line="240" w:lineRule="auto"/>
        <w:jc w:val="both"/>
        <w:rPr>
          <w:b/>
          <w:sz w:val="24"/>
          <w:szCs w:val="24"/>
        </w:rPr>
      </w:pPr>
      <w:r w:rsidRPr="008F1EFD">
        <w:rPr>
          <w:b/>
          <w:sz w:val="24"/>
          <w:szCs w:val="24"/>
        </w:rPr>
        <w:t>Pour plus d’information</w:t>
      </w:r>
      <w:r w:rsidR="00FB4239">
        <w:rPr>
          <w:b/>
          <w:sz w:val="24"/>
          <w:szCs w:val="24"/>
        </w:rPr>
        <w:t>s,</w:t>
      </w:r>
      <w:r w:rsidRPr="008F1EFD">
        <w:rPr>
          <w:b/>
          <w:sz w:val="24"/>
          <w:szCs w:val="24"/>
        </w:rPr>
        <w:t xml:space="preserve"> vous pouvez contacter :</w:t>
      </w:r>
    </w:p>
    <w:p w:rsidR="0047624F" w:rsidRDefault="0047624F" w:rsidP="0047624F">
      <w:pPr>
        <w:spacing w:before="120" w:after="120" w:line="240" w:lineRule="auto"/>
        <w:jc w:val="both"/>
      </w:pPr>
      <w:proofErr w:type="spellStart"/>
      <w:r w:rsidRPr="00821745">
        <w:rPr>
          <w:sz w:val="24"/>
          <w:szCs w:val="24"/>
        </w:rPr>
        <w:t>Pr.Ag</w:t>
      </w:r>
      <w:proofErr w:type="spellEnd"/>
      <w:r w:rsidRPr="00821745">
        <w:rPr>
          <w:sz w:val="24"/>
          <w:szCs w:val="24"/>
        </w:rPr>
        <w:t xml:space="preserve">. </w:t>
      </w:r>
      <w:proofErr w:type="spellStart"/>
      <w:r w:rsidRPr="00821745">
        <w:rPr>
          <w:sz w:val="24"/>
          <w:szCs w:val="24"/>
        </w:rPr>
        <w:t>Manel</w:t>
      </w:r>
      <w:proofErr w:type="spellEnd"/>
      <w:r w:rsidRPr="00821745">
        <w:rPr>
          <w:sz w:val="24"/>
          <w:szCs w:val="24"/>
        </w:rPr>
        <w:t xml:space="preserve"> CHAABANE: </w:t>
      </w:r>
      <w:hyperlink r:id="rId7" w:history="1">
        <w:r w:rsidRPr="00821745">
          <w:rPr>
            <w:rStyle w:val="Lienhypertexte"/>
            <w:sz w:val="24"/>
            <w:szCs w:val="24"/>
          </w:rPr>
          <w:t>cmanel@yahoo.fr</w:t>
        </w:r>
      </w:hyperlink>
    </w:p>
    <w:p w:rsidR="004A3AAD" w:rsidRDefault="008F1EFD" w:rsidP="008F1EF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Pr. </w:t>
      </w:r>
      <w:proofErr w:type="spellStart"/>
      <w:r>
        <w:rPr>
          <w:sz w:val="24"/>
          <w:szCs w:val="24"/>
        </w:rPr>
        <w:t>Slama</w:t>
      </w:r>
      <w:proofErr w:type="spellEnd"/>
      <w:r>
        <w:rPr>
          <w:sz w:val="24"/>
          <w:szCs w:val="24"/>
        </w:rPr>
        <w:t xml:space="preserve"> HMIDA président de la commission : </w:t>
      </w:r>
      <w:hyperlink r:id="rId8" w:history="1">
        <w:r w:rsidRPr="00CA4065">
          <w:rPr>
            <w:rStyle w:val="Lienhypertexte"/>
            <w:sz w:val="24"/>
            <w:szCs w:val="24"/>
          </w:rPr>
          <w:t>hmida.slama@rns.tn</w:t>
        </w:r>
      </w:hyperlink>
    </w:p>
    <w:p w:rsidR="003A247F" w:rsidRDefault="003A247F" w:rsidP="008F1EFD">
      <w:pPr>
        <w:spacing w:before="120" w:after="120" w:line="240" w:lineRule="auto"/>
        <w:jc w:val="both"/>
      </w:pPr>
      <w:r>
        <w:rPr>
          <w:sz w:val="24"/>
          <w:szCs w:val="24"/>
        </w:rPr>
        <w:t>Pr. Saloua YA</w:t>
      </w:r>
      <w:r w:rsidR="005A02A3">
        <w:rPr>
          <w:sz w:val="24"/>
          <w:szCs w:val="24"/>
        </w:rPr>
        <w:t>A</w:t>
      </w:r>
      <w:r>
        <w:rPr>
          <w:sz w:val="24"/>
          <w:szCs w:val="24"/>
        </w:rPr>
        <w:t>COUB</w:t>
      </w:r>
      <w:r w:rsidR="005A02A3">
        <w:rPr>
          <w:sz w:val="24"/>
          <w:szCs w:val="24"/>
        </w:rPr>
        <w:t xml:space="preserve"> JEMNI</w:t>
      </w:r>
      <w:r>
        <w:rPr>
          <w:sz w:val="24"/>
          <w:szCs w:val="24"/>
        </w:rPr>
        <w:t xml:space="preserve"> : </w:t>
      </w:r>
      <w:hyperlink r:id="rId9" w:history="1">
        <w:r w:rsidRPr="00CA4065">
          <w:rPr>
            <w:rStyle w:val="Lienhypertexte"/>
            <w:sz w:val="24"/>
            <w:szCs w:val="24"/>
          </w:rPr>
          <w:t>saloua.jemni@rns.tn</w:t>
        </w:r>
      </w:hyperlink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F05C0F" w:rsidRDefault="00F05C0F" w:rsidP="008F1EFD">
      <w:pPr>
        <w:spacing w:before="120" w:after="120" w:line="240" w:lineRule="auto"/>
        <w:jc w:val="both"/>
      </w:pPr>
    </w:p>
    <w:p w:rsidR="0047624F" w:rsidRDefault="00346765" w:rsidP="00346765">
      <w:pPr>
        <w:rPr>
          <w:rFonts w:ascii="Times New Roman" w:hAnsi="Times New Roman" w:cs="Times New Roman"/>
          <w:sz w:val="28"/>
          <w:szCs w:val="28"/>
        </w:rPr>
      </w:pPr>
      <w:r w:rsidRPr="009270B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7624F" w:rsidRDefault="0047624F" w:rsidP="00346765">
      <w:pPr>
        <w:rPr>
          <w:rFonts w:ascii="Times New Roman" w:hAnsi="Times New Roman" w:cs="Times New Roman"/>
          <w:sz w:val="28"/>
          <w:szCs w:val="28"/>
        </w:rPr>
      </w:pPr>
    </w:p>
    <w:p w:rsidR="00346765" w:rsidRPr="0047624F" w:rsidRDefault="00346765" w:rsidP="004762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24F">
        <w:rPr>
          <w:rFonts w:ascii="Times New Roman" w:hAnsi="Times New Roman" w:cs="Times New Roman"/>
          <w:b/>
          <w:bCs/>
          <w:sz w:val="28"/>
          <w:szCs w:val="28"/>
        </w:rPr>
        <w:lastRenderedPageBreak/>
        <w:t>Grille  de sélection</w:t>
      </w:r>
    </w:p>
    <w:p w:rsidR="00346765" w:rsidRPr="009270BF" w:rsidRDefault="00346765" w:rsidP="0034676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8"/>
        <w:gridCol w:w="1800"/>
      </w:tblGrid>
      <w:tr w:rsidR="00346765" w:rsidRPr="009270BF" w:rsidTr="00346765">
        <w:trPr>
          <w:trHeight w:val="521"/>
        </w:trPr>
        <w:tc>
          <w:tcPr>
            <w:tcW w:w="7768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Moyenne </w:t>
            </w:r>
            <w:r w:rsidRPr="00F05C0F">
              <w:rPr>
                <w:rFonts w:ascii="Times New Roman" w:hAnsi="Times New Roman" w:cs="Times New Roman"/>
                <w:sz w:val="28"/>
                <w:szCs w:val="28"/>
              </w:rPr>
              <w:t>au cours du 2</w:t>
            </w:r>
            <w:r w:rsidRPr="00F05C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ème</w:t>
            </w:r>
            <w:r w:rsidRPr="00F05C0F">
              <w:rPr>
                <w:rFonts w:ascii="Times New Roman" w:hAnsi="Times New Roman" w:cs="Times New Roman"/>
                <w:sz w:val="28"/>
                <w:szCs w:val="28"/>
              </w:rPr>
              <w:t xml:space="preserve"> cycle pour les pharmaciens, médecins et résidents en pharmacie et en médecine et </w:t>
            </w:r>
            <w:r w:rsidRPr="00F05C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des trois années d’études pour les licenciés en biologie médicale,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46765" w:rsidRPr="009270BF" w:rsidTr="00346765">
        <w:trPr>
          <w:trHeight w:val="347"/>
        </w:trPr>
        <w:tc>
          <w:tcPr>
            <w:tcW w:w="7768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Candidat exerçant dans une structure transfusionnelle</w:t>
            </w:r>
          </w:p>
        </w:tc>
        <w:tc>
          <w:tcPr>
            <w:tcW w:w="1800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346765" w:rsidRPr="009270BF" w:rsidTr="00346765">
        <w:trPr>
          <w:trHeight w:val="174"/>
        </w:trPr>
        <w:tc>
          <w:tcPr>
            <w:tcW w:w="9568" w:type="dxa"/>
            <w:gridSpan w:val="2"/>
            <w:shd w:val="clear" w:color="auto" w:fill="D9D9D9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Mention obtenue pour le diplôme</w:t>
            </w:r>
          </w:p>
        </w:tc>
      </w:tr>
      <w:tr w:rsidR="00346765" w:rsidRPr="009270BF" w:rsidTr="00346765">
        <w:trPr>
          <w:trHeight w:val="1333"/>
        </w:trPr>
        <w:tc>
          <w:tcPr>
            <w:tcW w:w="7768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sz w:val="28"/>
                <w:szCs w:val="28"/>
              </w:rPr>
              <w:t xml:space="preserve">Très bien 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sz w:val="28"/>
                <w:szCs w:val="28"/>
              </w:rPr>
              <w:t>bien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sz w:val="28"/>
                <w:szCs w:val="28"/>
              </w:rPr>
              <w:t>Assez bien</w:t>
            </w:r>
          </w:p>
        </w:tc>
        <w:tc>
          <w:tcPr>
            <w:tcW w:w="1800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346765" w:rsidRPr="00F05C0F" w:rsidRDefault="0082174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</w:t>
            </w:r>
            <w:r w:rsidR="00346765"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  <w:p w:rsidR="00346765" w:rsidRPr="00F05C0F" w:rsidRDefault="0082174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</w:t>
            </w:r>
            <w:r w:rsidR="00346765"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346765" w:rsidRPr="009270BF" w:rsidTr="00346765">
        <w:trPr>
          <w:trHeight w:val="797"/>
        </w:trPr>
        <w:tc>
          <w:tcPr>
            <w:tcW w:w="7768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Etudiant étranger</w:t>
            </w:r>
          </w:p>
        </w:tc>
        <w:tc>
          <w:tcPr>
            <w:tcW w:w="1800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46765" w:rsidRPr="009270BF" w:rsidTr="00346765">
        <w:trPr>
          <w:trHeight w:val="174"/>
        </w:trPr>
        <w:tc>
          <w:tcPr>
            <w:tcW w:w="9568" w:type="dxa"/>
            <w:gridSpan w:val="2"/>
            <w:shd w:val="clear" w:color="auto" w:fill="D9D9D9"/>
          </w:tcPr>
          <w:p w:rsidR="00346765" w:rsidRPr="00F05C0F" w:rsidRDefault="0047624F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Rapport du diplôme avec le domaine de la santé </w:t>
            </w:r>
          </w:p>
        </w:tc>
      </w:tr>
      <w:tr w:rsidR="00346765" w:rsidRPr="009270BF" w:rsidTr="00346765">
        <w:trPr>
          <w:trHeight w:val="1332"/>
        </w:trPr>
        <w:tc>
          <w:tcPr>
            <w:tcW w:w="7768" w:type="dxa"/>
          </w:tcPr>
          <w:p w:rsidR="00346765" w:rsidRPr="00F05C0F" w:rsidRDefault="0047624F" w:rsidP="00346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2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</w:t>
            </w:r>
            <w:r w:rsidR="00346765" w:rsidRPr="00F05C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harmacien</w:t>
            </w:r>
          </w:p>
          <w:p w:rsidR="00346765" w:rsidRPr="00F05C0F" w:rsidRDefault="00821745" w:rsidP="00346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Médecin</w:t>
            </w:r>
            <w:r w:rsidR="00346765" w:rsidRPr="00F05C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="004762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médecin </w:t>
            </w:r>
            <w:r w:rsidR="00346765" w:rsidRPr="00F05C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dentiste, vétérinaire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Ingénieur dans un domaine de la santé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Licence en rapport avec la santé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346765" w:rsidRPr="00F05C0F" w:rsidRDefault="00346765" w:rsidP="003467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05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346765" w:rsidRDefault="00346765" w:rsidP="00346765">
      <w:pPr>
        <w:spacing w:before="120" w:after="120" w:line="240" w:lineRule="auto"/>
        <w:jc w:val="both"/>
        <w:rPr>
          <w:sz w:val="24"/>
          <w:szCs w:val="24"/>
          <w:lang w:val="en-US"/>
        </w:rPr>
      </w:pPr>
    </w:p>
    <w:p w:rsidR="006319EF" w:rsidRDefault="006319EF" w:rsidP="00F05C0F">
      <w:pPr>
        <w:rPr>
          <w:rFonts w:ascii="Times New Roman" w:hAnsi="Times New Roman" w:cs="Times New Roman"/>
          <w:sz w:val="28"/>
          <w:szCs w:val="28"/>
        </w:rPr>
      </w:pPr>
    </w:p>
    <w:p w:rsidR="006319EF" w:rsidRDefault="006319EF" w:rsidP="00F05C0F">
      <w:pPr>
        <w:rPr>
          <w:rFonts w:ascii="Times New Roman" w:hAnsi="Times New Roman" w:cs="Times New Roman"/>
          <w:sz w:val="28"/>
          <w:szCs w:val="28"/>
        </w:rPr>
      </w:pPr>
    </w:p>
    <w:p w:rsidR="006319EF" w:rsidRDefault="006319EF" w:rsidP="00F05C0F">
      <w:pPr>
        <w:rPr>
          <w:rFonts w:ascii="Times New Roman" w:hAnsi="Times New Roman" w:cs="Times New Roman"/>
          <w:sz w:val="28"/>
          <w:szCs w:val="28"/>
        </w:rPr>
      </w:pPr>
    </w:p>
    <w:p w:rsidR="00F05C0F" w:rsidRPr="00697B5C" w:rsidRDefault="006319EF" w:rsidP="006319E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B5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Déroulement de l’enseignement</w:t>
      </w: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2347"/>
        <w:gridCol w:w="8144"/>
      </w:tblGrid>
      <w:tr w:rsidR="006319EF" w:rsidRPr="004313D2" w:rsidTr="00D54251">
        <w:trPr>
          <w:trHeight w:val="708"/>
        </w:trPr>
        <w:tc>
          <w:tcPr>
            <w:tcW w:w="2347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Coordinateur </w:t>
            </w:r>
          </w:p>
        </w:tc>
        <w:tc>
          <w:tcPr>
            <w:tcW w:w="8144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319EF" w:rsidRDefault="006319EF" w:rsidP="00D54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Manel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Chaâbane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319EF" w:rsidRPr="004313D2" w:rsidTr="00D54251">
        <w:trPr>
          <w:trHeight w:val="1043"/>
        </w:trPr>
        <w:tc>
          <w:tcPr>
            <w:tcW w:w="2347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Candidats</w:t>
            </w:r>
          </w:p>
        </w:tc>
        <w:tc>
          <w:tcPr>
            <w:tcW w:w="8144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EF" w:rsidRPr="003E7C6F" w:rsidRDefault="006319EF" w:rsidP="00D5425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Cet enseignement est destiné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aux </w:t>
            </w:r>
            <w:r w:rsidRPr="003E7C6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pharmaciens, médecins, résidents en pharmacie, résidents en médecine et aux licenciés en biologie médicale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ou</w:t>
            </w:r>
            <w:r w:rsidRPr="003E7C6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en sciences infirmières ou titulaires d’un diplôme jugé équivalent et habilités à exercer dans des structures transfusionnelles.</w:t>
            </w:r>
          </w:p>
          <w:p w:rsidR="006319EF" w:rsidRPr="003E7C6F" w:rsidRDefault="006319EF" w:rsidP="00D5425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3E7C6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La priorité sera donnée aux spécialistes en Hématologie et aux candidats exerçant dans une structure transfusionnelle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EF" w:rsidRPr="004313D2" w:rsidTr="00D54251">
        <w:trPr>
          <w:trHeight w:val="847"/>
        </w:trPr>
        <w:tc>
          <w:tcPr>
            <w:tcW w:w="2347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Inscription </w:t>
            </w:r>
          </w:p>
        </w:tc>
        <w:tc>
          <w:tcPr>
            <w:tcW w:w="8144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EF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>Le nombre de places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 limité à 3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0, les demandes doivent parvenir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 Doyen de la Faculté de P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harmacie de Monastir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avant le 15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septembre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19EF" w:rsidRPr="00D357AE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319EF" w:rsidRPr="004313D2" w:rsidTr="00D54251">
        <w:trPr>
          <w:trHeight w:val="1043"/>
        </w:trPr>
        <w:tc>
          <w:tcPr>
            <w:tcW w:w="2347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Langue </w:t>
            </w:r>
          </w:p>
        </w:tc>
        <w:tc>
          <w:tcPr>
            <w:tcW w:w="8144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</w:tc>
      </w:tr>
      <w:tr w:rsidR="006319EF" w:rsidRPr="004313D2" w:rsidTr="00D54251">
        <w:trPr>
          <w:trHeight w:val="1043"/>
        </w:trPr>
        <w:tc>
          <w:tcPr>
            <w:tcW w:w="2347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Organisation  de l’enseignement </w:t>
            </w:r>
          </w:p>
        </w:tc>
        <w:tc>
          <w:tcPr>
            <w:tcW w:w="8144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-Enseignement théorique  </w:t>
            </w:r>
          </w:p>
          <w:p w:rsidR="006319EF" w:rsidRPr="00A6566F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66F">
              <w:rPr>
                <w:rFonts w:ascii="Times New Roman" w:hAnsi="Times New Roman" w:cs="Times New Roman"/>
                <w:sz w:val="24"/>
                <w:szCs w:val="24"/>
              </w:rPr>
              <w:t>- Missions de courte durée assurée par des experts étrangers</w:t>
            </w:r>
          </w:p>
          <w:p w:rsidR="006319EF" w:rsidRPr="00A6566F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66F">
              <w:rPr>
                <w:rFonts w:ascii="Times New Roman" w:hAnsi="Times New Roman" w:cs="Times New Roman"/>
                <w:sz w:val="24"/>
                <w:szCs w:val="24"/>
              </w:rPr>
              <w:t xml:space="preserve">- Cours assuré par des spécialistes tunisiens / un jour fixe de la semaine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- Planning sera communiqué ultérieurement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Période du 1/10  au 30/04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de  l’année suivante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- Examen le mois de juin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- Enseignement pratique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>- Mois de Mars –Mois de Mai</w:t>
            </w:r>
          </w:p>
          <w:p w:rsidR="006319EF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-Examen à la fin des séances de travaux pratiques </w:t>
            </w:r>
          </w:p>
          <w:p w:rsidR="006319EF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Stage pratique dans une structure transfusionnelle universitaire agréée par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commission du mastère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Présentation d'un mémoire portant sur l'un des thèmes du programme d’enseignement et choisi selon une liste préétablie par la commission du mastère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- Inscription 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 - Demande 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 du  D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oyen de la Faculté de Pharmacie de Monastir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 - Inscription au début de chaque année.</w:t>
            </w:r>
          </w:p>
          <w:p w:rsidR="006319EF" w:rsidRPr="004313D2" w:rsidRDefault="006319EF" w:rsidP="00F526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</w:t>
            </w:r>
            <w:r w:rsidRPr="004313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>Durée : 1 an</w:t>
            </w:r>
          </w:p>
          <w:p w:rsidR="006319EF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L’obtention du diplôme de mastère professionnel 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est subordonnée  à la réussite à l’examen 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héorique, à la validation de l’enseignement pratique 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et à la prés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entation d'un mémoire de Mastère 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>ou d’un travail publié dans une revue scientifique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EF" w:rsidRPr="004313D2" w:rsidTr="00D54251">
        <w:trPr>
          <w:trHeight w:val="1087"/>
        </w:trPr>
        <w:tc>
          <w:tcPr>
            <w:tcW w:w="2347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Enseignement </w:t>
            </w:r>
          </w:p>
        </w:tc>
        <w:tc>
          <w:tcPr>
            <w:tcW w:w="8144" w:type="dxa"/>
          </w:tcPr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EF" w:rsidRPr="004313D2" w:rsidRDefault="006319EF" w:rsidP="00D54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>Centre National de transfusion Sanguine-Tunis/ Facult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 de Pharmacie de Monastir/ Centre Régional de Transfusion</w:t>
            </w:r>
            <w:r w:rsidRPr="004313D2">
              <w:rPr>
                <w:rFonts w:ascii="Times New Roman" w:hAnsi="Times New Roman" w:cs="Times New Roman"/>
                <w:sz w:val="24"/>
                <w:szCs w:val="24"/>
              </w:rPr>
              <w:t xml:space="preserve"> de Sousse </w:t>
            </w:r>
          </w:p>
        </w:tc>
      </w:tr>
    </w:tbl>
    <w:p w:rsidR="006319EF" w:rsidRPr="006319EF" w:rsidRDefault="006319EF" w:rsidP="006319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19EF" w:rsidRPr="006319EF" w:rsidSect="008F1E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ADC"/>
    <w:multiLevelType w:val="hybridMultilevel"/>
    <w:tmpl w:val="8D60450C"/>
    <w:lvl w:ilvl="0" w:tplc="FD3814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E5EE5"/>
    <w:multiLevelType w:val="hybridMultilevel"/>
    <w:tmpl w:val="8C9EF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20B9A"/>
    <w:multiLevelType w:val="hybridMultilevel"/>
    <w:tmpl w:val="9704F992"/>
    <w:lvl w:ilvl="0" w:tplc="1ADCDF2E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23536DD8"/>
    <w:multiLevelType w:val="hybridMultilevel"/>
    <w:tmpl w:val="E4AAD22C"/>
    <w:lvl w:ilvl="0" w:tplc="3826712A">
      <w:start w:val="1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562637F7"/>
    <w:multiLevelType w:val="hybridMultilevel"/>
    <w:tmpl w:val="612AF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85"/>
    <w:rsid w:val="00017678"/>
    <w:rsid w:val="000547B3"/>
    <w:rsid w:val="0006619D"/>
    <w:rsid w:val="000779DB"/>
    <w:rsid w:val="000A5CEA"/>
    <w:rsid w:val="000C023C"/>
    <w:rsid w:val="000F5020"/>
    <w:rsid w:val="001128A6"/>
    <w:rsid w:val="00162B7E"/>
    <w:rsid w:val="001A7FFB"/>
    <w:rsid w:val="001D70B6"/>
    <w:rsid w:val="001E454A"/>
    <w:rsid w:val="00215627"/>
    <w:rsid w:val="00215854"/>
    <w:rsid w:val="00216C67"/>
    <w:rsid w:val="002621C6"/>
    <w:rsid w:val="002724E1"/>
    <w:rsid w:val="002865A0"/>
    <w:rsid w:val="002944E7"/>
    <w:rsid w:val="00326D54"/>
    <w:rsid w:val="00336D85"/>
    <w:rsid w:val="00346765"/>
    <w:rsid w:val="00397398"/>
    <w:rsid w:val="003A247F"/>
    <w:rsid w:val="003C4372"/>
    <w:rsid w:val="004067B1"/>
    <w:rsid w:val="00430C84"/>
    <w:rsid w:val="00444196"/>
    <w:rsid w:val="0046447A"/>
    <w:rsid w:val="0047624F"/>
    <w:rsid w:val="004A3AAD"/>
    <w:rsid w:val="00547AED"/>
    <w:rsid w:val="0057382C"/>
    <w:rsid w:val="005A02A3"/>
    <w:rsid w:val="005B1364"/>
    <w:rsid w:val="005D3725"/>
    <w:rsid w:val="005F132C"/>
    <w:rsid w:val="0061207B"/>
    <w:rsid w:val="0061647F"/>
    <w:rsid w:val="006319EF"/>
    <w:rsid w:val="006632F3"/>
    <w:rsid w:val="00672D6A"/>
    <w:rsid w:val="00697B5C"/>
    <w:rsid w:val="006C7BB4"/>
    <w:rsid w:val="006D76B7"/>
    <w:rsid w:val="007152CE"/>
    <w:rsid w:val="00717E81"/>
    <w:rsid w:val="00754E90"/>
    <w:rsid w:val="007A0AA4"/>
    <w:rsid w:val="007C42F0"/>
    <w:rsid w:val="00821745"/>
    <w:rsid w:val="00821EF6"/>
    <w:rsid w:val="008367FA"/>
    <w:rsid w:val="00846843"/>
    <w:rsid w:val="008621E2"/>
    <w:rsid w:val="008B7CCF"/>
    <w:rsid w:val="008F1EFD"/>
    <w:rsid w:val="00953531"/>
    <w:rsid w:val="009B0685"/>
    <w:rsid w:val="009B118C"/>
    <w:rsid w:val="00A17F51"/>
    <w:rsid w:val="00AA4CA0"/>
    <w:rsid w:val="00AF699F"/>
    <w:rsid w:val="00B054DC"/>
    <w:rsid w:val="00B3133D"/>
    <w:rsid w:val="00B5493B"/>
    <w:rsid w:val="00B7527E"/>
    <w:rsid w:val="00B95562"/>
    <w:rsid w:val="00BB4B18"/>
    <w:rsid w:val="00BE693F"/>
    <w:rsid w:val="00C60412"/>
    <w:rsid w:val="00CA4472"/>
    <w:rsid w:val="00CC53D3"/>
    <w:rsid w:val="00CF420E"/>
    <w:rsid w:val="00D270E9"/>
    <w:rsid w:val="00D37D43"/>
    <w:rsid w:val="00D402F7"/>
    <w:rsid w:val="00D910BC"/>
    <w:rsid w:val="00D94277"/>
    <w:rsid w:val="00D9557E"/>
    <w:rsid w:val="00D9582F"/>
    <w:rsid w:val="00DA6F39"/>
    <w:rsid w:val="00DB6B5E"/>
    <w:rsid w:val="00DD5A34"/>
    <w:rsid w:val="00E06233"/>
    <w:rsid w:val="00E36212"/>
    <w:rsid w:val="00E458E2"/>
    <w:rsid w:val="00EA110C"/>
    <w:rsid w:val="00EA3EF2"/>
    <w:rsid w:val="00EE4F76"/>
    <w:rsid w:val="00EF5211"/>
    <w:rsid w:val="00EF5610"/>
    <w:rsid w:val="00F05C0F"/>
    <w:rsid w:val="00F109A8"/>
    <w:rsid w:val="00F44E6B"/>
    <w:rsid w:val="00F5262E"/>
    <w:rsid w:val="00F67F8B"/>
    <w:rsid w:val="00F87709"/>
    <w:rsid w:val="00FB4239"/>
    <w:rsid w:val="00FD3716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2F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5A34"/>
    <w:pPr>
      <w:spacing w:before="520" w:after="320" w:line="240" w:lineRule="auto"/>
      <w:jc w:val="both"/>
      <w:outlineLvl w:val="1"/>
    </w:pPr>
    <w:rPr>
      <w:rFonts w:ascii="Times New Roman" w:hAnsi="Times New Roman" w:cs="Times New Roman"/>
      <w:b/>
      <w:spacing w:val="15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DD5A34"/>
    <w:rPr>
      <w:rFonts w:ascii="Times New Roman" w:hAnsi="Times New Roman"/>
      <w:b/>
      <w:spacing w:val="15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06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06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55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F1EFD"/>
    <w:rPr>
      <w:color w:val="0000FF"/>
      <w:u w:val="single"/>
    </w:rPr>
  </w:style>
  <w:style w:type="character" w:customStyle="1" w:styleId="object">
    <w:name w:val="object"/>
    <w:basedOn w:val="Policepardfaut"/>
    <w:rsid w:val="00754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2F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5A34"/>
    <w:pPr>
      <w:spacing w:before="520" w:after="320" w:line="240" w:lineRule="auto"/>
      <w:jc w:val="both"/>
      <w:outlineLvl w:val="1"/>
    </w:pPr>
    <w:rPr>
      <w:rFonts w:ascii="Times New Roman" w:hAnsi="Times New Roman" w:cs="Times New Roman"/>
      <w:b/>
      <w:spacing w:val="15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DD5A34"/>
    <w:rPr>
      <w:rFonts w:ascii="Times New Roman" w:hAnsi="Times New Roman"/>
      <w:b/>
      <w:spacing w:val="15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06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06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55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F1EFD"/>
    <w:rPr>
      <w:color w:val="0000FF"/>
      <w:u w:val="single"/>
    </w:rPr>
  </w:style>
  <w:style w:type="character" w:customStyle="1" w:styleId="object">
    <w:name w:val="object"/>
    <w:basedOn w:val="Policepardfaut"/>
    <w:rsid w:val="0075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ida.slama@rns.t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manel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oua.jemni@rns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7514</CharactersWithSpaces>
  <SharedDoc>false</SharedDoc>
  <HLinks>
    <vt:vector size="18" baseType="variant">
      <vt:variant>
        <vt:i4>1507389</vt:i4>
      </vt:variant>
      <vt:variant>
        <vt:i4>6</vt:i4>
      </vt:variant>
      <vt:variant>
        <vt:i4>0</vt:i4>
      </vt:variant>
      <vt:variant>
        <vt:i4>5</vt:i4>
      </vt:variant>
      <vt:variant>
        <vt:lpwstr>mailto:cmanel@yahoo.fr</vt:lpwstr>
      </vt:variant>
      <vt:variant>
        <vt:lpwstr/>
      </vt:variant>
      <vt:variant>
        <vt:i4>4390974</vt:i4>
      </vt:variant>
      <vt:variant>
        <vt:i4>3</vt:i4>
      </vt:variant>
      <vt:variant>
        <vt:i4>0</vt:i4>
      </vt:variant>
      <vt:variant>
        <vt:i4>5</vt:i4>
      </vt:variant>
      <vt:variant>
        <vt:lpwstr>mailto:saloua.jemni@rns.tn</vt:lpwstr>
      </vt:variant>
      <vt:variant>
        <vt:lpwstr/>
      </vt:variant>
      <vt:variant>
        <vt:i4>262252</vt:i4>
      </vt:variant>
      <vt:variant>
        <vt:i4>0</vt:i4>
      </vt:variant>
      <vt:variant>
        <vt:i4>0</vt:i4>
      </vt:variant>
      <vt:variant>
        <vt:i4>5</vt:i4>
      </vt:variant>
      <vt:variant>
        <vt:lpwstr>mailto:hmida.slama@rns.tn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poste 001</cp:lastModifiedBy>
  <cp:revision>2</cp:revision>
  <dcterms:created xsi:type="dcterms:W3CDTF">2022-09-20T10:42:00Z</dcterms:created>
  <dcterms:modified xsi:type="dcterms:W3CDTF">2022-09-20T10:42:00Z</dcterms:modified>
</cp:coreProperties>
</file>